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2729" w:rsidRPr="00EB1E08" w:rsidRDefault="00222729" w:rsidP="00222729">
      <w:pPr>
        <w:ind w:left="5670"/>
        <w:rPr>
          <w:sz w:val="22"/>
        </w:rPr>
      </w:pPr>
      <w:r w:rsidRPr="00EB1E08">
        <w:rPr>
          <w:sz w:val="22"/>
        </w:rPr>
        <w:t>PATVIRTINTA</w:t>
      </w:r>
    </w:p>
    <w:p w:rsidR="00951813" w:rsidRDefault="00222729" w:rsidP="00222729">
      <w:pPr>
        <w:ind w:left="5670"/>
        <w:rPr>
          <w:sz w:val="22"/>
        </w:rPr>
      </w:pPr>
      <w:r>
        <w:rPr>
          <w:sz w:val="22"/>
        </w:rPr>
        <w:t>Marijampolės moksleivių kūrybos centro</w:t>
      </w:r>
      <w:r w:rsidRPr="00EB1E08">
        <w:rPr>
          <w:sz w:val="22"/>
        </w:rPr>
        <w:t xml:space="preserve"> direktoriaus 2014</w:t>
      </w:r>
      <w:r>
        <w:rPr>
          <w:sz w:val="22"/>
        </w:rPr>
        <w:t xml:space="preserve"> m. </w:t>
      </w:r>
      <w:r w:rsidR="00951813">
        <w:rPr>
          <w:sz w:val="22"/>
        </w:rPr>
        <w:t>birželio</w:t>
      </w:r>
      <w:r>
        <w:rPr>
          <w:sz w:val="22"/>
        </w:rPr>
        <w:t xml:space="preserve"> </w:t>
      </w:r>
      <w:r w:rsidR="001F2B53">
        <w:rPr>
          <w:sz w:val="22"/>
        </w:rPr>
        <w:t>3</w:t>
      </w:r>
      <w:r w:rsidR="00951813">
        <w:rPr>
          <w:sz w:val="22"/>
        </w:rPr>
        <w:t xml:space="preserve"> d.</w:t>
      </w:r>
    </w:p>
    <w:p w:rsidR="00222729" w:rsidRPr="009F461D" w:rsidRDefault="00222729" w:rsidP="00222729">
      <w:pPr>
        <w:ind w:left="5670"/>
        <w:rPr>
          <w:sz w:val="22"/>
          <w:lang w:val="en-GB"/>
        </w:rPr>
      </w:pPr>
      <w:r w:rsidRPr="00EB1E08">
        <w:rPr>
          <w:sz w:val="22"/>
        </w:rPr>
        <w:t>įsakymu Nr.</w:t>
      </w:r>
      <w:r w:rsidR="009F461D">
        <w:rPr>
          <w:sz w:val="22"/>
        </w:rPr>
        <w:t xml:space="preserve"> V-</w:t>
      </w:r>
      <w:r w:rsidR="009F461D">
        <w:rPr>
          <w:sz w:val="22"/>
          <w:lang w:val="en-GB"/>
        </w:rPr>
        <w:t>89</w:t>
      </w:r>
    </w:p>
    <w:p w:rsidR="00222729" w:rsidRPr="00E361C0" w:rsidRDefault="00222729" w:rsidP="00222729">
      <w:pPr>
        <w:jc w:val="center"/>
        <w:rPr>
          <w:b/>
        </w:rPr>
      </w:pPr>
    </w:p>
    <w:p w:rsidR="00222729" w:rsidRPr="00E361C0" w:rsidRDefault="00222729" w:rsidP="00222729">
      <w:pPr>
        <w:jc w:val="center"/>
        <w:rPr>
          <w:b/>
        </w:rPr>
      </w:pPr>
    </w:p>
    <w:p w:rsidR="00222729" w:rsidRPr="00EB1E08" w:rsidRDefault="00222729" w:rsidP="00222729">
      <w:pPr>
        <w:jc w:val="center"/>
        <w:rPr>
          <w:b/>
        </w:rPr>
      </w:pPr>
      <w:r>
        <w:rPr>
          <w:b/>
        </w:rPr>
        <w:t>MARIJAMPOLĖS MOKSLEIVIŲ KŪRYBOS CENTRO</w:t>
      </w:r>
    </w:p>
    <w:p w:rsidR="00222729" w:rsidRPr="00EB1E08" w:rsidRDefault="00222729" w:rsidP="00222729">
      <w:pPr>
        <w:jc w:val="center"/>
        <w:rPr>
          <w:b/>
        </w:rPr>
      </w:pPr>
      <w:r w:rsidRPr="00EB1E08">
        <w:rPr>
          <w:b/>
        </w:rPr>
        <w:t>SUPAPRASTINTŲ MAŽOS VERTĖS PIRKIMŲ TAISYKLĖS</w:t>
      </w:r>
    </w:p>
    <w:p w:rsidR="00A74CE7" w:rsidRDefault="00A74CE7" w:rsidP="00345522"/>
    <w:sdt>
      <w:sdtPr>
        <w:id w:val="1693348"/>
        <w:docPartObj>
          <w:docPartGallery w:val="Table of Contents"/>
          <w:docPartUnique/>
        </w:docPartObj>
      </w:sdtPr>
      <w:sdtContent>
        <w:p w:rsidR="00A74CE7" w:rsidRPr="005D2AA9" w:rsidRDefault="00A74CE7" w:rsidP="00A74CE7"/>
        <w:p w:rsidR="00A74CE7" w:rsidRPr="005D2AA9" w:rsidRDefault="009167E8" w:rsidP="005D2AA9">
          <w:pPr>
            <w:pStyle w:val="TOC1"/>
            <w:rPr>
              <w:rFonts w:ascii="Times New Roman" w:eastAsiaTheme="minorEastAsia" w:hAnsi="Times New Roman" w:cstheme="minorBidi"/>
              <w:b w:val="0"/>
              <w:noProof/>
              <w:lang w:val="en-GB" w:eastAsia="en-US"/>
            </w:rPr>
          </w:pPr>
          <w:r w:rsidRPr="005D2AA9">
            <w:rPr>
              <w:rFonts w:ascii="Times New Roman" w:hAnsi="Times New Roman"/>
              <w:b w:val="0"/>
            </w:rPr>
            <w:fldChar w:fldCharType="begin"/>
          </w:r>
          <w:r w:rsidR="00A74CE7" w:rsidRPr="005D2AA9">
            <w:rPr>
              <w:rFonts w:ascii="Times New Roman" w:hAnsi="Times New Roman"/>
              <w:b w:val="0"/>
            </w:rPr>
            <w:instrText xml:space="preserve"> TOC \o "1-3" \h \z \u </w:instrText>
          </w:r>
          <w:r w:rsidRPr="005D2AA9">
            <w:rPr>
              <w:rFonts w:ascii="Times New Roman" w:hAnsi="Times New Roman"/>
              <w:b w:val="0"/>
            </w:rPr>
            <w:fldChar w:fldCharType="separate"/>
          </w:r>
          <w:r w:rsidR="00A74CE7" w:rsidRPr="005D2AA9">
            <w:rPr>
              <w:rFonts w:ascii="Times New Roman" w:hAnsi="Times New Roman"/>
              <w:noProof/>
            </w:rPr>
            <w:t>I.</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BENDROSIOS NUOSTATOS</w:t>
          </w:r>
          <w:r w:rsidR="00A74CE7" w:rsidRPr="005D2AA9">
            <w:rPr>
              <w:rFonts w:ascii="Times New Roman" w:hAnsi="Times New Roman"/>
              <w:b w:val="0"/>
              <w:noProof/>
            </w:rPr>
            <w:tab/>
          </w:r>
          <w:r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_Toc263599651 \h </w:instrText>
          </w:r>
          <w:r w:rsidR="00515C8D" w:rsidRPr="009167E8">
            <w:rPr>
              <w:rFonts w:ascii="Times New Roman" w:hAnsi="Times New Roman"/>
              <w:b w:val="0"/>
              <w:noProof/>
            </w:rPr>
          </w:r>
          <w:r w:rsidRPr="005D2AA9">
            <w:rPr>
              <w:rFonts w:ascii="Times New Roman" w:hAnsi="Times New Roman"/>
              <w:b w:val="0"/>
              <w:noProof/>
            </w:rPr>
            <w:fldChar w:fldCharType="separate"/>
          </w:r>
          <w:r w:rsidR="00515C8D">
            <w:rPr>
              <w:rFonts w:ascii="Times New Roman" w:hAnsi="Times New Roman"/>
              <w:b w:val="0"/>
              <w:noProof/>
            </w:rPr>
            <w:t>1</w:t>
          </w:r>
          <w:r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II.</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PIRKIMŲ ORGANIZAVIMAS IR VYKDYMAS</w:t>
          </w:r>
          <w:r w:rsidRPr="005D2AA9">
            <w:rPr>
              <w:rFonts w:ascii="Times New Roman" w:hAnsi="Times New Roman"/>
              <w:b w:val="0"/>
              <w:noProof/>
            </w:rPr>
            <w:tab/>
          </w:r>
          <w:r w:rsidR="009167E8" w:rsidRPr="005D2AA9">
            <w:rPr>
              <w:rFonts w:ascii="Times New Roman" w:hAnsi="Times New Roman"/>
              <w:b w:val="0"/>
              <w:noProof/>
            </w:rPr>
            <w:fldChar w:fldCharType="begin"/>
          </w:r>
          <w:r w:rsidRPr="005D2AA9">
            <w:rPr>
              <w:rFonts w:ascii="Times New Roman" w:hAnsi="Times New Roman"/>
              <w:b w:val="0"/>
              <w:noProof/>
            </w:rPr>
            <w:instrText xml:space="preserve"> PAGEREF _Toc263599653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2</w:t>
          </w:r>
          <w:r w:rsidR="009167E8"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I</w:t>
          </w:r>
          <w:r w:rsidR="007F1F48">
            <w:rPr>
              <w:rFonts w:ascii="Times New Roman" w:hAnsi="Times New Roman"/>
              <w:noProof/>
            </w:rPr>
            <w:t>II</w:t>
          </w:r>
          <w:r w:rsidRPr="005D2AA9">
            <w:rPr>
              <w:rFonts w:ascii="Times New Roman" w:hAnsi="Times New Roman"/>
              <w:noProof/>
            </w:rPr>
            <w:t>.</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TIEKĖJŲ KVALIFIKACIJOS PATIKRINIMAS</w:t>
          </w:r>
          <w:r w:rsidRPr="005D2AA9">
            <w:rPr>
              <w:rFonts w:ascii="Times New Roman" w:hAnsi="Times New Roman"/>
              <w:b w:val="0"/>
              <w:noProof/>
            </w:rPr>
            <w:tab/>
          </w:r>
          <w:r w:rsidR="009167E8" w:rsidRPr="005D2AA9">
            <w:rPr>
              <w:rFonts w:ascii="Times New Roman" w:hAnsi="Times New Roman"/>
              <w:b w:val="0"/>
              <w:noProof/>
            </w:rPr>
            <w:fldChar w:fldCharType="begin"/>
          </w:r>
          <w:r w:rsidRPr="005D2AA9">
            <w:rPr>
              <w:rFonts w:ascii="Times New Roman" w:hAnsi="Times New Roman"/>
              <w:b w:val="0"/>
              <w:noProof/>
            </w:rPr>
            <w:instrText xml:space="preserve"> PAGEREF _Toc263599654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3</w:t>
          </w:r>
          <w:r w:rsidR="009167E8"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I</w:t>
          </w:r>
          <w:r w:rsidR="00A74CE7" w:rsidRPr="005D2AA9">
            <w:rPr>
              <w:rFonts w:ascii="Times New Roman" w:hAnsi="Times New Roman"/>
              <w:noProof/>
            </w:rPr>
            <w:t>V.</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TECHNINĖ SPECIFIKACIJA</w:t>
          </w:r>
          <w:r w:rsidR="00A74CE7" w:rsidRPr="005D2AA9">
            <w:rPr>
              <w:rFonts w:ascii="Times New Roman" w:hAnsi="Times New Roman"/>
              <w:b w:val="0"/>
              <w:noProof/>
            </w:rPr>
            <w:tab/>
          </w:r>
          <w:r w:rsidR="009167E8"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_Toc263599655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3</w:t>
          </w:r>
          <w:r w:rsidR="009167E8"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PASIŪLYMŲ VERTINIMAS IR PALYGINIMAS</w:t>
          </w:r>
          <w:r w:rsidRPr="005D2AA9">
            <w:rPr>
              <w:rFonts w:ascii="Times New Roman" w:hAnsi="Times New Roman"/>
              <w:b w:val="0"/>
              <w:noProof/>
            </w:rPr>
            <w:tab/>
          </w:r>
          <w:r w:rsidR="009167E8" w:rsidRPr="005D2AA9">
            <w:rPr>
              <w:rFonts w:ascii="Times New Roman" w:hAnsi="Times New Roman"/>
              <w:b w:val="0"/>
              <w:noProof/>
            </w:rPr>
            <w:fldChar w:fldCharType="begin"/>
          </w:r>
          <w:r w:rsidRPr="005D2AA9">
            <w:rPr>
              <w:rFonts w:ascii="Times New Roman" w:hAnsi="Times New Roman"/>
              <w:b w:val="0"/>
              <w:noProof/>
            </w:rPr>
            <w:instrText xml:space="preserve"> PAGEREF _Toc263599656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3</w:t>
          </w:r>
          <w:r w:rsidR="009167E8"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VI.</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PIRKIMŲ BŪDAI</w:t>
          </w:r>
          <w:r w:rsidRPr="005D2AA9">
            <w:rPr>
              <w:rFonts w:ascii="Times New Roman" w:hAnsi="Times New Roman"/>
              <w:b w:val="0"/>
              <w:noProof/>
            </w:rPr>
            <w:tab/>
          </w:r>
          <w:r w:rsidR="009167E8" w:rsidRPr="005D2AA9">
            <w:rPr>
              <w:rFonts w:ascii="Times New Roman" w:hAnsi="Times New Roman"/>
              <w:b w:val="0"/>
              <w:noProof/>
            </w:rPr>
            <w:fldChar w:fldCharType="begin"/>
          </w:r>
          <w:r w:rsidRPr="005D2AA9">
            <w:rPr>
              <w:rFonts w:ascii="Times New Roman" w:hAnsi="Times New Roman"/>
              <w:b w:val="0"/>
              <w:noProof/>
            </w:rPr>
            <w:instrText xml:space="preserve"> PAGEREF _Toc263599657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4</w:t>
          </w:r>
          <w:r w:rsidR="009167E8"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VII.</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APKLAUSA</w:t>
          </w:r>
          <w:r w:rsidRPr="005D2AA9">
            <w:rPr>
              <w:rFonts w:ascii="Times New Roman" w:hAnsi="Times New Roman"/>
              <w:b w:val="0"/>
              <w:noProof/>
            </w:rPr>
            <w:tab/>
          </w:r>
          <w:r w:rsidR="009167E8" w:rsidRPr="005D2AA9">
            <w:rPr>
              <w:rFonts w:ascii="Times New Roman" w:hAnsi="Times New Roman"/>
              <w:b w:val="0"/>
              <w:noProof/>
            </w:rPr>
            <w:fldChar w:fldCharType="begin"/>
          </w:r>
          <w:r w:rsidRPr="005D2AA9">
            <w:rPr>
              <w:rFonts w:ascii="Times New Roman" w:hAnsi="Times New Roman"/>
              <w:b w:val="0"/>
              <w:noProof/>
            </w:rPr>
            <w:instrText xml:space="preserve"> PAGEREF _Toc263599658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5</w:t>
          </w:r>
          <w:r w:rsidR="009167E8"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VIII</w:t>
          </w:r>
          <w:r w:rsidR="00A74CE7" w:rsidRPr="005D2AA9">
            <w:rPr>
              <w:rFonts w:ascii="Times New Roman" w:hAnsi="Times New Roman"/>
              <w:noProof/>
            </w:rPr>
            <w:t>.</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PIRKIMO SUTARTIS</w:t>
          </w:r>
          <w:r w:rsidR="00A74CE7" w:rsidRPr="005D2AA9">
            <w:rPr>
              <w:rFonts w:ascii="Times New Roman" w:hAnsi="Times New Roman"/>
              <w:b w:val="0"/>
              <w:noProof/>
            </w:rPr>
            <w:tab/>
          </w:r>
          <w:r w:rsidR="009167E8"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_Toc263599659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6</w:t>
          </w:r>
          <w:r w:rsidR="009167E8"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I</w:t>
          </w:r>
          <w:r w:rsidR="00A74CE7" w:rsidRPr="005D2AA9">
            <w:rPr>
              <w:rFonts w:ascii="Times New Roman" w:hAnsi="Times New Roman"/>
              <w:noProof/>
            </w:rPr>
            <w:t>X.</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PIRKIMŲ VIEŠINIMAS</w:t>
          </w:r>
          <w:r w:rsidR="00A74CE7" w:rsidRPr="005D2AA9">
            <w:rPr>
              <w:rFonts w:ascii="Times New Roman" w:hAnsi="Times New Roman"/>
              <w:b w:val="0"/>
              <w:noProof/>
            </w:rPr>
            <w:tab/>
          </w:r>
          <w:r w:rsidR="009167E8"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_Toc263599661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7</w:t>
          </w:r>
          <w:r w:rsidR="009167E8"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X.</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BAIGIAMOSIOS NUOSTATOS</w:t>
          </w:r>
          <w:r w:rsidRPr="005D2AA9">
            <w:rPr>
              <w:rFonts w:ascii="Times New Roman" w:hAnsi="Times New Roman"/>
              <w:b w:val="0"/>
              <w:noProof/>
            </w:rPr>
            <w:tab/>
          </w:r>
          <w:r w:rsidR="009167E8" w:rsidRPr="005D2AA9">
            <w:rPr>
              <w:rFonts w:ascii="Times New Roman" w:hAnsi="Times New Roman"/>
              <w:b w:val="0"/>
              <w:noProof/>
            </w:rPr>
            <w:fldChar w:fldCharType="begin"/>
          </w:r>
          <w:r w:rsidRPr="005D2AA9">
            <w:rPr>
              <w:rFonts w:ascii="Times New Roman" w:hAnsi="Times New Roman"/>
              <w:b w:val="0"/>
              <w:noProof/>
            </w:rPr>
            <w:instrText xml:space="preserve"> PAGEREF _Toc263599662 \h </w:instrText>
          </w:r>
          <w:r w:rsidR="00515C8D" w:rsidRPr="009167E8">
            <w:rPr>
              <w:rFonts w:ascii="Times New Roman" w:hAnsi="Times New Roman"/>
              <w:b w:val="0"/>
              <w:noProof/>
            </w:rPr>
          </w:r>
          <w:r w:rsidR="009167E8" w:rsidRPr="005D2AA9">
            <w:rPr>
              <w:rFonts w:ascii="Times New Roman" w:hAnsi="Times New Roman"/>
              <w:b w:val="0"/>
              <w:noProof/>
            </w:rPr>
            <w:fldChar w:fldCharType="separate"/>
          </w:r>
          <w:r w:rsidR="00515C8D">
            <w:rPr>
              <w:rFonts w:ascii="Times New Roman" w:hAnsi="Times New Roman"/>
              <w:b w:val="0"/>
              <w:noProof/>
            </w:rPr>
            <w:t>7</w:t>
          </w:r>
          <w:r w:rsidR="009167E8" w:rsidRPr="005D2AA9">
            <w:rPr>
              <w:rFonts w:ascii="Times New Roman" w:hAnsi="Times New Roman"/>
              <w:b w:val="0"/>
              <w:noProof/>
            </w:rPr>
            <w:fldChar w:fldCharType="end"/>
          </w:r>
        </w:p>
        <w:p w:rsidR="00A74CE7" w:rsidRPr="005D2AA9" w:rsidRDefault="009167E8">
          <w:r w:rsidRPr="005D2AA9">
            <w:fldChar w:fldCharType="end"/>
          </w:r>
        </w:p>
      </w:sdtContent>
    </w:sdt>
    <w:p w:rsidR="00345522" w:rsidRPr="00031B3D" w:rsidRDefault="00345522" w:rsidP="00345522"/>
    <w:p w:rsidR="00345522" w:rsidRPr="00C33DE5" w:rsidRDefault="00345522" w:rsidP="00C33DE5">
      <w:pPr>
        <w:pStyle w:val="Heading1"/>
      </w:pPr>
      <w:bookmarkStart w:id="0" w:name="_Toc263599651"/>
      <w:r w:rsidRPr="00C33DE5">
        <w:t>BENDROSIOS NUOSTATOS</w:t>
      </w:r>
      <w:bookmarkEnd w:id="0"/>
    </w:p>
    <w:p w:rsidR="00345522" w:rsidRPr="00031B3D" w:rsidRDefault="00345522" w:rsidP="00345522"/>
    <w:p w:rsidR="00345522" w:rsidRPr="00D54629" w:rsidRDefault="00345522" w:rsidP="00D54629">
      <w:pPr>
        <w:ind w:firstLine="709"/>
        <w:jc w:val="both"/>
      </w:pPr>
      <w:r w:rsidRPr="00D54629">
        <w:t xml:space="preserve">1. </w:t>
      </w:r>
      <w:r w:rsidR="00222729" w:rsidRPr="00D54629">
        <w:t>Marijampolės moksleivių kūrybos centro</w:t>
      </w:r>
      <w:r w:rsidRPr="00D54629">
        <w:t xml:space="preserve"> supaprastintų </w:t>
      </w:r>
      <w:r w:rsidR="00222729" w:rsidRPr="00D54629">
        <w:t xml:space="preserve">mažos vertės </w:t>
      </w:r>
      <w:r w:rsidRPr="00D54629">
        <w:t xml:space="preserve">viešųjų pirkimų taisyklės (toliau – taisyklės) nustato perkančiosios organizacijos </w:t>
      </w:r>
      <w:r w:rsidR="00222729" w:rsidRPr="00D54629">
        <w:t>Marijampolės moksleivių kūrybos centro</w:t>
      </w:r>
      <w:r w:rsidRPr="00D54629">
        <w:t xml:space="preserve"> (toliau – perkančioji organizacija)</w:t>
      </w:r>
      <w:r w:rsidR="00222729" w:rsidRPr="00D54629">
        <w:t xml:space="preserve"> mažos vertės </w:t>
      </w:r>
      <w:r w:rsidRPr="00D54629">
        <w:t>prekių, paslaugų ir darbų pirkimų organizavimą, vykdymą, ginčų nagrinėjimo procedūras.</w:t>
      </w:r>
    </w:p>
    <w:p w:rsidR="00345522" w:rsidRPr="00D54629" w:rsidRDefault="00345522" w:rsidP="00D54629">
      <w:pPr>
        <w:ind w:firstLine="709"/>
        <w:jc w:val="both"/>
      </w:pPr>
      <w:r w:rsidRPr="00D54629">
        <w:t>2. Šiose taisyklėse reglamentuojami supaprastinti pirkimai:</w:t>
      </w:r>
    </w:p>
    <w:p w:rsidR="00345522" w:rsidRPr="00D54629" w:rsidRDefault="00345522" w:rsidP="00D54629">
      <w:pPr>
        <w:ind w:firstLine="709"/>
        <w:jc w:val="both"/>
        <w:rPr>
          <w:strike/>
        </w:rPr>
      </w:pPr>
      <w:r w:rsidRPr="00D54629">
        <w:t>2.1. kurių numatomo pirkimo vertė yra mažesnė už tarptautinio pirkimo vertės ribas;</w:t>
      </w:r>
    </w:p>
    <w:p w:rsidR="00345522" w:rsidRPr="00D54629" w:rsidRDefault="00345522" w:rsidP="00D54629">
      <w:pPr>
        <w:ind w:firstLine="709"/>
        <w:jc w:val="both"/>
      </w:pPr>
      <w:r w:rsidRPr="00D54629">
        <w:t>2.2. Lietuvos Respublikos viešųjų pirkimų įstatymo</w:t>
      </w:r>
      <w:r w:rsidR="00B74178">
        <w:t xml:space="preserve"> (toliau - Įstatymo)</w:t>
      </w:r>
      <w:r w:rsidRPr="00D54629">
        <w:t xml:space="preserve"> 2 priedėlyje nurodytų B paslaugų pirkimai neatsižvelgiant į pirkimo vertę;</w:t>
      </w:r>
    </w:p>
    <w:p w:rsidR="00345522" w:rsidRPr="00D54629" w:rsidRDefault="00345522" w:rsidP="00D54629">
      <w:pPr>
        <w:ind w:firstLine="709"/>
        <w:jc w:val="both"/>
      </w:pPr>
      <w:r w:rsidRPr="00D54629">
        <w:t>2.3. Viešųjų pirkimų įstatymo 9 straipsnio 14 dalyje nurodyti pirkimai.</w:t>
      </w:r>
    </w:p>
    <w:p w:rsidR="00345522" w:rsidRPr="00D54629" w:rsidRDefault="00951813" w:rsidP="00D54629">
      <w:pPr>
        <w:ind w:firstLine="709"/>
        <w:jc w:val="both"/>
      </w:pPr>
      <w:r>
        <w:t>3</w:t>
      </w:r>
      <w:r w:rsidR="00345522" w:rsidRPr="00D54629">
        <w:t>. Šios taisyklės netaikomos Viešųjų pirkimų įstatymo 10 straipsnyje nustatytais atvejais.</w:t>
      </w:r>
    </w:p>
    <w:p w:rsidR="00345522" w:rsidRPr="00D54629" w:rsidRDefault="00951813" w:rsidP="00D54629">
      <w:pPr>
        <w:ind w:firstLine="709"/>
        <w:jc w:val="both"/>
      </w:pPr>
      <w:r>
        <w:t>4</w:t>
      </w:r>
      <w:r w:rsidR="00345522" w:rsidRPr="00D54629">
        <w:t>. Šios taisyklės yra viešas dokumentas, kuris yra skelbiamas Centrinėje viešųjų pirkimų informacinėje sistemoje</w:t>
      </w:r>
      <w:r w:rsidR="000D0872" w:rsidRPr="00D54629">
        <w:t>.</w:t>
      </w:r>
    </w:p>
    <w:p w:rsidR="00345522" w:rsidRPr="00D54629" w:rsidRDefault="00951813" w:rsidP="00D54629">
      <w:pPr>
        <w:ind w:firstLine="709"/>
        <w:jc w:val="both"/>
      </w:pPr>
      <w:r>
        <w:t>5</w:t>
      </w:r>
      <w:r w:rsidR="00345522" w:rsidRPr="00D54629">
        <w:t>. Pagrindinės taisyklių sąvokos:</w:t>
      </w:r>
    </w:p>
    <w:p w:rsidR="00345522" w:rsidRPr="00D54629" w:rsidRDefault="00951813" w:rsidP="00D54629">
      <w:pPr>
        <w:pStyle w:val="Heading3"/>
        <w:suppressAutoHyphens/>
        <w:spacing w:before="0"/>
        <w:ind w:left="0" w:firstLine="709"/>
      </w:pPr>
      <w:bookmarkStart w:id="1" w:name="_Toc263599652"/>
      <w:r>
        <w:t>5</w:t>
      </w:r>
      <w:r w:rsidR="00345522" w:rsidRPr="00D54629">
        <w:t xml:space="preserve">.1. </w:t>
      </w:r>
      <w:r w:rsidR="00345522" w:rsidRPr="00D54629">
        <w:rPr>
          <w:b/>
        </w:rPr>
        <w:t>pirkimų organizatorius</w:t>
      </w:r>
      <w:r w:rsidR="00345522" w:rsidRPr="00D54629">
        <w:t xml:space="preserve"> – perkančiosios organizacijos direktoriaus įsakymu paskirtas darbuotojas, kuris yra nepriekaištingos reputacijos, pasirašę nešališkumo deklaracijas ir konfidencialumo pasižadėjimą. Pirkimų organizatorius šių taisyklių nustatyta tvarka organizuoja ir atlieka pirkimus apklausos būdu</w:t>
      </w:r>
      <w:r w:rsidR="00E23F54">
        <w:t>, kai tokiems pirkimams atlikti nesudaroma viešojo pirkimo komisija</w:t>
      </w:r>
      <w:r w:rsidR="00345522" w:rsidRPr="00D54629">
        <w:t>;</w:t>
      </w:r>
      <w:bookmarkEnd w:id="1"/>
    </w:p>
    <w:p w:rsidR="00345522" w:rsidRPr="001F2B53" w:rsidRDefault="00951813" w:rsidP="00D54629">
      <w:pPr>
        <w:pStyle w:val="BodyTextIndent2"/>
        <w:suppressAutoHyphens/>
        <w:spacing w:after="0" w:line="240" w:lineRule="auto"/>
        <w:ind w:left="0" w:firstLine="709"/>
        <w:jc w:val="both"/>
        <w:rPr>
          <w:lang w:val="lt-LT"/>
        </w:rPr>
      </w:pPr>
      <w:r w:rsidRPr="001F2B53">
        <w:rPr>
          <w:lang w:val="lt-LT"/>
        </w:rPr>
        <w:t>5</w:t>
      </w:r>
      <w:r w:rsidR="00345522" w:rsidRPr="001F2B53">
        <w:rPr>
          <w:lang w:val="lt-LT"/>
        </w:rPr>
        <w:t xml:space="preserve">.2. </w:t>
      </w:r>
      <w:r w:rsidR="00345522" w:rsidRPr="001F2B53">
        <w:rPr>
          <w:b/>
          <w:lang w:val="lt-LT"/>
        </w:rPr>
        <w:t>tiekėjų apklausa raštu</w:t>
      </w:r>
      <w:r w:rsidR="00345522" w:rsidRPr="001F2B53">
        <w:rPr>
          <w:lang w:val="lt-LT"/>
        </w:rPr>
        <w:t xml:space="preserve"> – perkančiosios organizacijos raštiškas kreipimasis į tiekėjus </w:t>
      </w:r>
      <w:r w:rsidR="00DD17E5">
        <w:rPr>
          <w:lang w:val="lt-LT"/>
        </w:rPr>
        <w:t xml:space="preserve">   </w:t>
      </w:r>
      <w:r w:rsidR="00345522" w:rsidRPr="001F2B53">
        <w:rPr>
          <w:lang w:val="lt-LT"/>
        </w:rPr>
        <w:t xml:space="preserve">(-ą) su prašymu pateikti pasiūlymus. Apklausiant raštu tiekėjai (-as) savo pasiūlymus privalo pateikti raštu. </w:t>
      </w:r>
      <w:r w:rsidR="000D0872" w:rsidRPr="001F2B53">
        <w:rPr>
          <w:lang w:val="lt-LT"/>
        </w:rPr>
        <w:t>I</w:t>
      </w:r>
      <w:r w:rsidR="00345522" w:rsidRPr="001F2B53">
        <w:rPr>
          <w:lang w:val="lt-LT"/>
        </w:rPr>
        <w:t>nformacinės sistemos priemonėmis atlikta apklausa (pateikiami pirkimo dokumentai ir priimami pasiūlymai) prilyginama tiekėjų apklausai raštu;</w:t>
      </w:r>
    </w:p>
    <w:p w:rsidR="00345522" w:rsidRPr="001F2B53" w:rsidRDefault="00951813" w:rsidP="00D54629">
      <w:pPr>
        <w:pStyle w:val="BodyTextIndent2"/>
        <w:suppressAutoHyphens/>
        <w:spacing w:after="0" w:line="240" w:lineRule="auto"/>
        <w:ind w:left="0" w:firstLine="709"/>
        <w:jc w:val="both"/>
        <w:rPr>
          <w:lang w:val="en-US"/>
        </w:rPr>
      </w:pPr>
      <w:r w:rsidRPr="001F2B53">
        <w:rPr>
          <w:lang w:val="lt-LT"/>
        </w:rPr>
        <w:t>5</w:t>
      </w:r>
      <w:r w:rsidR="00345522" w:rsidRPr="001F2B53">
        <w:rPr>
          <w:lang w:val="lt-LT"/>
        </w:rPr>
        <w:t xml:space="preserve">.3. </w:t>
      </w:r>
      <w:r w:rsidR="00345522" w:rsidRPr="001F2B53">
        <w:rPr>
          <w:b/>
          <w:lang w:val="lt-LT"/>
        </w:rPr>
        <w:t>tiekėjų apklausa žodžiu</w:t>
      </w:r>
      <w:r w:rsidR="00345522" w:rsidRPr="001F2B53">
        <w:rPr>
          <w:lang w:val="lt-LT"/>
        </w:rPr>
        <w:t xml:space="preserve"> – perkančiosios organizacijos žodinis kreipimasis į tiekėjus </w:t>
      </w:r>
      <w:r w:rsidR="00DD17E5">
        <w:rPr>
          <w:lang w:val="lt-LT"/>
        </w:rPr>
        <w:t xml:space="preserve">   </w:t>
      </w:r>
      <w:r w:rsidR="00345522" w:rsidRPr="001F2B53">
        <w:rPr>
          <w:lang w:val="lt-LT"/>
        </w:rPr>
        <w:t xml:space="preserve">(-ą) su prašymu pateikti pasiūlymus. </w:t>
      </w:r>
      <w:proofErr w:type="spellStart"/>
      <w:r w:rsidR="00345522" w:rsidRPr="001F2B53">
        <w:rPr>
          <w:lang w:val="en-US"/>
        </w:rPr>
        <w:t>Taip</w:t>
      </w:r>
      <w:proofErr w:type="spellEnd"/>
      <w:r w:rsidR="00345522" w:rsidRPr="001F2B53">
        <w:rPr>
          <w:lang w:val="en-US"/>
        </w:rPr>
        <w:t xml:space="preserve"> pat </w:t>
      </w:r>
      <w:proofErr w:type="spellStart"/>
      <w:r w:rsidR="00345522" w:rsidRPr="001F2B53">
        <w:rPr>
          <w:lang w:val="en-US"/>
        </w:rPr>
        <w:t>galima</w:t>
      </w:r>
      <w:proofErr w:type="spellEnd"/>
      <w:r w:rsidR="00345522" w:rsidRPr="001F2B53">
        <w:rPr>
          <w:lang w:val="en-US"/>
        </w:rPr>
        <w:t xml:space="preserve"> </w:t>
      </w:r>
      <w:proofErr w:type="spellStart"/>
      <w:r w:rsidR="00345522" w:rsidRPr="001F2B53">
        <w:rPr>
          <w:lang w:val="en-US"/>
        </w:rPr>
        <w:t>pasinaudoti</w:t>
      </w:r>
      <w:proofErr w:type="spellEnd"/>
      <w:r w:rsidR="00345522" w:rsidRPr="001F2B53">
        <w:rPr>
          <w:lang w:val="en-US"/>
        </w:rPr>
        <w:t xml:space="preserve"> </w:t>
      </w:r>
      <w:proofErr w:type="spellStart"/>
      <w:r w:rsidR="00345522" w:rsidRPr="001F2B53">
        <w:rPr>
          <w:lang w:val="en-US"/>
        </w:rPr>
        <w:t>viešai</w:t>
      </w:r>
      <w:proofErr w:type="spellEnd"/>
      <w:r w:rsidR="00345522" w:rsidRPr="001F2B53">
        <w:rPr>
          <w:lang w:val="en-US"/>
        </w:rPr>
        <w:t xml:space="preserve"> </w:t>
      </w:r>
      <w:proofErr w:type="spellStart"/>
      <w:r w:rsidR="00345522" w:rsidRPr="001F2B53">
        <w:rPr>
          <w:lang w:val="en-US"/>
        </w:rPr>
        <w:t>tiekėjų</w:t>
      </w:r>
      <w:proofErr w:type="spellEnd"/>
      <w:r w:rsidR="00345522" w:rsidRPr="001F2B53">
        <w:rPr>
          <w:lang w:val="en-US"/>
        </w:rPr>
        <w:t xml:space="preserve"> </w:t>
      </w:r>
      <w:proofErr w:type="spellStart"/>
      <w:r w:rsidR="00345522" w:rsidRPr="001F2B53">
        <w:rPr>
          <w:lang w:val="en-US"/>
        </w:rPr>
        <w:t>pateikta</w:t>
      </w:r>
      <w:proofErr w:type="spellEnd"/>
      <w:r w:rsidR="00345522" w:rsidRPr="001F2B53">
        <w:rPr>
          <w:lang w:val="en-US"/>
        </w:rPr>
        <w:t xml:space="preserve"> </w:t>
      </w:r>
      <w:proofErr w:type="spellStart"/>
      <w:r w:rsidR="00345522" w:rsidRPr="001F2B53">
        <w:rPr>
          <w:lang w:val="en-US"/>
        </w:rPr>
        <w:t>informacija</w:t>
      </w:r>
      <w:proofErr w:type="spellEnd"/>
      <w:r w:rsidR="00345522" w:rsidRPr="001F2B53">
        <w:rPr>
          <w:lang w:val="en-US"/>
        </w:rPr>
        <w:t xml:space="preserve"> (</w:t>
      </w:r>
      <w:proofErr w:type="spellStart"/>
      <w:r w:rsidR="00345522" w:rsidRPr="001F2B53">
        <w:rPr>
          <w:lang w:val="en-US"/>
        </w:rPr>
        <w:t>reklama</w:t>
      </w:r>
      <w:proofErr w:type="spellEnd"/>
      <w:r w:rsidR="00345522" w:rsidRPr="001F2B53">
        <w:rPr>
          <w:lang w:val="en-US"/>
        </w:rPr>
        <w:t xml:space="preserve"> </w:t>
      </w:r>
      <w:proofErr w:type="spellStart"/>
      <w:r w:rsidR="00345522" w:rsidRPr="001F2B53">
        <w:rPr>
          <w:lang w:val="en-US"/>
        </w:rPr>
        <w:t>internete</w:t>
      </w:r>
      <w:proofErr w:type="spellEnd"/>
      <w:r w:rsidR="00345522" w:rsidRPr="001F2B53">
        <w:rPr>
          <w:lang w:val="en-US"/>
        </w:rPr>
        <w:t xml:space="preserve"> </w:t>
      </w:r>
      <w:proofErr w:type="spellStart"/>
      <w:r w:rsidR="00345522" w:rsidRPr="001F2B53">
        <w:rPr>
          <w:lang w:val="en-US"/>
        </w:rPr>
        <w:t>ir</w:t>
      </w:r>
      <w:proofErr w:type="spellEnd"/>
      <w:r w:rsidR="00345522" w:rsidRPr="001F2B53">
        <w:rPr>
          <w:lang w:val="en-US"/>
        </w:rPr>
        <w:t xml:space="preserve"> </w:t>
      </w:r>
      <w:proofErr w:type="spellStart"/>
      <w:r w:rsidR="00345522" w:rsidRPr="001F2B53">
        <w:rPr>
          <w:lang w:val="en-US"/>
        </w:rPr>
        <w:t>kt</w:t>
      </w:r>
      <w:proofErr w:type="spellEnd"/>
      <w:r w:rsidR="00345522" w:rsidRPr="001F2B53">
        <w:rPr>
          <w:lang w:val="en-US"/>
        </w:rPr>
        <w:t xml:space="preserve">.) </w:t>
      </w:r>
      <w:proofErr w:type="spellStart"/>
      <w:r w:rsidR="00345522" w:rsidRPr="001F2B53">
        <w:rPr>
          <w:lang w:val="en-US"/>
        </w:rPr>
        <w:t>apie</w:t>
      </w:r>
      <w:proofErr w:type="spellEnd"/>
      <w:r w:rsidR="00345522" w:rsidRPr="001F2B53">
        <w:rPr>
          <w:lang w:val="en-US"/>
        </w:rPr>
        <w:t xml:space="preserve"> </w:t>
      </w:r>
      <w:proofErr w:type="spellStart"/>
      <w:r w:rsidR="00345522" w:rsidRPr="001F2B53">
        <w:rPr>
          <w:lang w:val="en-US"/>
        </w:rPr>
        <w:t>siūlomas</w:t>
      </w:r>
      <w:proofErr w:type="spellEnd"/>
      <w:r w:rsidR="00345522" w:rsidRPr="001F2B53">
        <w:rPr>
          <w:lang w:val="en-US"/>
        </w:rPr>
        <w:t xml:space="preserve"> </w:t>
      </w:r>
      <w:proofErr w:type="spellStart"/>
      <w:r w:rsidR="00345522" w:rsidRPr="001F2B53">
        <w:rPr>
          <w:lang w:val="en-US"/>
        </w:rPr>
        <w:t>prekes</w:t>
      </w:r>
      <w:proofErr w:type="spellEnd"/>
      <w:r w:rsidR="00345522" w:rsidRPr="001F2B53">
        <w:rPr>
          <w:lang w:val="en-US"/>
        </w:rPr>
        <w:t xml:space="preserve">, </w:t>
      </w:r>
      <w:proofErr w:type="spellStart"/>
      <w:r w:rsidR="00345522" w:rsidRPr="001F2B53">
        <w:rPr>
          <w:lang w:val="en-US"/>
        </w:rPr>
        <w:t>paslaugas</w:t>
      </w:r>
      <w:proofErr w:type="spellEnd"/>
      <w:r w:rsidR="00345522" w:rsidRPr="001F2B53">
        <w:rPr>
          <w:lang w:val="en-US"/>
        </w:rPr>
        <w:t xml:space="preserve">, </w:t>
      </w:r>
      <w:proofErr w:type="spellStart"/>
      <w:proofErr w:type="gramStart"/>
      <w:r w:rsidR="00345522" w:rsidRPr="001F2B53">
        <w:rPr>
          <w:lang w:val="en-US"/>
        </w:rPr>
        <w:t>darbus</w:t>
      </w:r>
      <w:proofErr w:type="spellEnd"/>
      <w:proofErr w:type="gramEnd"/>
      <w:r w:rsidR="00345522" w:rsidRPr="001F2B53">
        <w:rPr>
          <w:lang w:val="en-US"/>
        </w:rPr>
        <w:t xml:space="preserve">. </w:t>
      </w:r>
      <w:proofErr w:type="spellStart"/>
      <w:proofErr w:type="gramStart"/>
      <w:r w:rsidR="00345522" w:rsidRPr="001F2B53">
        <w:rPr>
          <w:lang w:val="en-US"/>
        </w:rPr>
        <w:t>Toks</w:t>
      </w:r>
      <w:proofErr w:type="spellEnd"/>
      <w:r w:rsidR="00345522" w:rsidRPr="001F2B53">
        <w:rPr>
          <w:lang w:val="en-US"/>
        </w:rPr>
        <w:t xml:space="preserve"> </w:t>
      </w:r>
      <w:proofErr w:type="spellStart"/>
      <w:r w:rsidR="00345522" w:rsidRPr="001F2B53">
        <w:rPr>
          <w:lang w:val="en-US"/>
        </w:rPr>
        <w:t>informacijos</w:t>
      </w:r>
      <w:proofErr w:type="spellEnd"/>
      <w:r w:rsidR="00345522" w:rsidRPr="001F2B53">
        <w:rPr>
          <w:lang w:val="en-US"/>
        </w:rPr>
        <w:t xml:space="preserve"> </w:t>
      </w:r>
      <w:proofErr w:type="spellStart"/>
      <w:r w:rsidR="00345522" w:rsidRPr="001F2B53">
        <w:rPr>
          <w:lang w:val="en-US"/>
        </w:rPr>
        <w:t>gavimas</w:t>
      </w:r>
      <w:proofErr w:type="spellEnd"/>
      <w:r w:rsidR="00345522" w:rsidRPr="001F2B53">
        <w:rPr>
          <w:lang w:val="en-US"/>
        </w:rPr>
        <w:t xml:space="preserve"> </w:t>
      </w:r>
      <w:proofErr w:type="spellStart"/>
      <w:r w:rsidR="00345522" w:rsidRPr="001F2B53">
        <w:rPr>
          <w:lang w:val="en-US"/>
        </w:rPr>
        <w:t>prilyginamas</w:t>
      </w:r>
      <w:proofErr w:type="spellEnd"/>
      <w:r w:rsidR="00345522" w:rsidRPr="001F2B53">
        <w:rPr>
          <w:lang w:val="en-US"/>
        </w:rPr>
        <w:t xml:space="preserve"> </w:t>
      </w:r>
      <w:proofErr w:type="spellStart"/>
      <w:r w:rsidR="00345522" w:rsidRPr="001F2B53">
        <w:rPr>
          <w:lang w:val="en-US"/>
        </w:rPr>
        <w:t>tiekėjų</w:t>
      </w:r>
      <w:proofErr w:type="spellEnd"/>
      <w:r w:rsidR="00345522" w:rsidRPr="001F2B53">
        <w:rPr>
          <w:lang w:val="en-US"/>
        </w:rPr>
        <w:t xml:space="preserve"> </w:t>
      </w:r>
      <w:proofErr w:type="spellStart"/>
      <w:r w:rsidR="00345522" w:rsidRPr="001F2B53">
        <w:rPr>
          <w:lang w:val="en-US"/>
        </w:rPr>
        <w:t>apklausai</w:t>
      </w:r>
      <w:proofErr w:type="spellEnd"/>
      <w:r w:rsidR="00345522" w:rsidRPr="001F2B53">
        <w:rPr>
          <w:lang w:val="en-US"/>
        </w:rPr>
        <w:t xml:space="preserve"> </w:t>
      </w:r>
      <w:proofErr w:type="spellStart"/>
      <w:r w:rsidR="00345522" w:rsidRPr="001F2B53">
        <w:rPr>
          <w:lang w:val="en-US"/>
        </w:rPr>
        <w:t>žodžiu</w:t>
      </w:r>
      <w:proofErr w:type="spellEnd"/>
      <w:r w:rsidR="00345522" w:rsidRPr="001F2B53">
        <w:rPr>
          <w:lang w:val="en-US"/>
        </w:rPr>
        <w:t>.</w:t>
      </w:r>
      <w:proofErr w:type="gramEnd"/>
      <w:r w:rsidR="00345522" w:rsidRPr="001F2B53">
        <w:rPr>
          <w:lang w:val="en-US"/>
        </w:rPr>
        <w:t xml:space="preserve"> </w:t>
      </w:r>
      <w:proofErr w:type="spellStart"/>
      <w:r w:rsidR="00345522" w:rsidRPr="001F2B53">
        <w:rPr>
          <w:lang w:val="en-US"/>
        </w:rPr>
        <w:t>Apklausiant</w:t>
      </w:r>
      <w:proofErr w:type="spellEnd"/>
      <w:r w:rsidR="00345522" w:rsidRPr="001F2B53">
        <w:rPr>
          <w:lang w:val="en-US"/>
        </w:rPr>
        <w:t xml:space="preserve"> </w:t>
      </w:r>
      <w:proofErr w:type="spellStart"/>
      <w:r w:rsidR="00345522" w:rsidRPr="001F2B53">
        <w:rPr>
          <w:lang w:val="en-US"/>
        </w:rPr>
        <w:t>žodžiu</w:t>
      </w:r>
      <w:proofErr w:type="spellEnd"/>
      <w:r w:rsidR="00345522" w:rsidRPr="001F2B53">
        <w:rPr>
          <w:lang w:val="en-US"/>
        </w:rPr>
        <w:t xml:space="preserve"> </w:t>
      </w:r>
      <w:proofErr w:type="spellStart"/>
      <w:r w:rsidR="00345522" w:rsidRPr="001F2B53">
        <w:rPr>
          <w:lang w:val="en-US"/>
        </w:rPr>
        <w:t>su</w:t>
      </w:r>
      <w:proofErr w:type="spellEnd"/>
      <w:r w:rsidR="00345522" w:rsidRPr="001F2B53">
        <w:rPr>
          <w:lang w:val="en-US"/>
        </w:rPr>
        <w:t xml:space="preserve"> </w:t>
      </w:r>
      <w:proofErr w:type="spellStart"/>
      <w:r w:rsidR="00345522" w:rsidRPr="001F2B53">
        <w:rPr>
          <w:lang w:val="en-US"/>
        </w:rPr>
        <w:t>tiekėjais</w:t>
      </w:r>
      <w:proofErr w:type="spellEnd"/>
      <w:r w:rsidR="00345522" w:rsidRPr="001F2B53">
        <w:rPr>
          <w:lang w:val="en-US"/>
        </w:rPr>
        <w:t xml:space="preserve"> </w:t>
      </w:r>
      <w:proofErr w:type="spellStart"/>
      <w:r w:rsidR="00345522" w:rsidRPr="001F2B53">
        <w:rPr>
          <w:lang w:val="en-US"/>
        </w:rPr>
        <w:t>taip</w:t>
      </w:r>
      <w:proofErr w:type="spellEnd"/>
      <w:r w:rsidR="00345522" w:rsidRPr="001F2B53">
        <w:rPr>
          <w:lang w:val="en-US"/>
        </w:rPr>
        <w:t xml:space="preserve"> pat </w:t>
      </w:r>
      <w:proofErr w:type="spellStart"/>
      <w:r w:rsidR="00345522" w:rsidRPr="001F2B53">
        <w:rPr>
          <w:lang w:val="en-US"/>
        </w:rPr>
        <w:t>bendraujama</w:t>
      </w:r>
      <w:proofErr w:type="spellEnd"/>
      <w:r w:rsidR="00345522" w:rsidRPr="001F2B53">
        <w:rPr>
          <w:lang w:val="en-US"/>
        </w:rPr>
        <w:t xml:space="preserve"> </w:t>
      </w:r>
      <w:proofErr w:type="spellStart"/>
      <w:r w:rsidR="00345522" w:rsidRPr="001F2B53">
        <w:rPr>
          <w:lang w:val="en-US"/>
        </w:rPr>
        <w:t>asmeniškai</w:t>
      </w:r>
      <w:proofErr w:type="spellEnd"/>
      <w:r w:rsidR="00345522" w:rsidRPr="001F2B53">
        <w:rPr>
          <w:lang w:val="en-US"/>
        </w:rPr>
        <w:t xml:space="preserve"> </w:t>
      </w:r>
      <w:proofErr w:type="spellStart"/>
      <w:r w:rsidR="00345522" w:rsidRPr="001F2B53">
        <w:rPr>
          <w:lang w:val="en-US"/>
        </w:rPr>
        <w:t>arba</w:t>
      </w:r>
      <w:proofErr w:type="spellEnd"/>
      <w:r w:rsidR="00345522" w:rsidRPr="001F2B53">
        <w:rPr>
          <w:lang w:val="en-US"/>
        </w:rPr>
        <w:t xml:space="preserve"> </w:t>
      </w:r>
      <w:proofErr w:type="spellStart"/>
      <w:r w:rsidR="00345522" w:rsidRPr="001F2B53">
        <w:rPr>
          <w:lang w:val="en-US"/>
        </w:rPr>
        <w:t>telefonu</w:t>
      </w:r>
      <w:proofErr w:type="spellEnd"/>
      <w:r w:rsidR="00345522" w:rsidRPr="001F2B53">
        <w:rPr>
          <w:lang w:val="en-US"/>
        </w:rPr>
        <w:t xml:space="preserve">. </w:t>
      </w:r>
      <w:proofErr w:type="spellStart"/>
      <w:r w:rsidR="00345522" w:rsidRPr="001F2B53">
        <w:rPr>
          <w:lang w:val="en-US"/>
        </w:rPr>
        <w:t>Tiekėjai</w:t>
      </w:r>
      <w:proofErr w:type="spellEnd"/>
      <w:r w:rsidR="00345522" w:rsidRPr="001F2B53">
        <w:rPr>
          <w:lang w:val="en-US"/>
        </w:rPr>
        <w:t xml:space="preserve"> </w:t>
      </w:r>
      <w:proofErr w:type="spellStart"/>
      <w:r w:rsidR="00345522" w:rsidRPr="001F2B53">
        <w:rPr>
          <w:lang w:val="en-US"/>
        </w:rPr>
        <w:t>neprivalo</w:t>
      </w:r>
      <w:proofErr w:type="spellEnd"/>
      <w:r w:rsidR="00345522" w:rsidRPr="001F2B53">
        <w:rPr>
          <w:lang w:val="en-US"/>
        </w:rPr>
        <w:t xml:space="preserve"> </w:t>
      </w:r>
      <w:proofErr w:type="spellStart"/>
      <w:r w:rsidR="00345522" w:rsidRPr="001F2B53">
        <w:rPr>
          <w:lang w:val="en-US"/>
        </w:rPr>
        <w:t>pateikti</w:t>
      </w:r>
      <w:proofErr w:type="spellEnd"/>
      <w:r w:rsidR="00345522" w:rsidRPr="001F2B53">
        <w:rPr>
          <w:lang w:val="en-US"/>
        </w:rPr>
        <w:t xml:space="preserve"> </w:t>
      </w:r>
      <w:proofErr w:type="spellStart"/>
      <w:r w:rsidR="00345522" w:rsidRPr="001F2B53">
        <w:rPr>
          <w:lang w:val="en-US"/>
        </w:rPr>
        <w:t>savo</w:t>
      </w:r>
      <w:proofErr w:type="spellEnd"/>
      <w:r w:rsidR="00345522" w:rsidRPr="001F2B53">
        <w:rPr>
          <w:lang w:val="en-US"/>
        </w:rPr>
        <w:t xml:space="preserve"> </w:t>
      </w:r>
      <w:proofErr w:type="spellStart"/>
      <w:r w:rsidR="00345522" w:rsidRPr="001F2B53">
        <w:rPr>
          <w:lang w:val="en-US"/>
        </w:rPr>
        <w:t>pasiūlymų</w:t>
      </w:r>
      <w:proofErr w:type="spellEnd"/>
      <w:r w:rsidR="00345522" w:rsidRPr="001F2B53">
        <w:rPr>
          <w:lang w:val="en-US"/>
        </w:rPr>
        <w:t xml:space="preserve"> </w:t>
      </w:r>
      <w:proofErr w:type="spellStart"/>
      <w:r w:rsidR="00345522" w:rsidRPr="001F2B53">
        <w:rPr>
          <w:lang w:val="en-US"/>
        </w:rPr>
        <w:t>raštu</w:t>
      </w:r>
      <w:proofErr w:type="spellEnd"/>
      <w:r w:rsidR="00345522" w:rsidRPr="001F2B53">
        <w:rPr>
          <w:lang w:val="en-US"/>
        </w:rPr>
        <w:t>;</w:t>
      </w:r>
    </w:p>
    <w:p w:rsidR="009A2609" w:rsidRPr="00D54629" w:rsidRDefault="00951813" w:rsidP="00D54629">
      <w:pPr>
        <w:suppressAutoHyphens/>
        <w:ind w:firstLine="709"/>
        <w:jc w:val="both"/>
      </w:pPr>
      <w:r>
        <w:t>5</w:t>
      </w:r>
      <w:r w:rsidR="00345522" w:rsidRPr="00D54629">
        <w:t xml:space="preserve">.4. </w:t>
      </w:r>
      <w:r w:rsidR="00345522" w:rsidRPr="00D54629">
        <w:rPr>
          <w:b/>
        </w:rPr>
        <w:t>viešųjų pirkimų komisija</w:t>
      </w:r>
      <w:r w:rsidR="00345522" w:rsidRPr="00D54629">
        <w:t xml:space="preserve"> (toliau – komisija) – pirkimams organizuoti ir atlikti perkančiosios organizacijos direktoriaus įsakymu sudaryta komisija, veikianti pagal direktoriaus įsakymu patvirtintą darbo reglamentą.</w:t>
      </w:r>
    </w:p>
    <w:p w:rsidR="009A2609" w:rsidRPr="00D54629" w:rsidRDefault="00951813" w:rsidP="00D54629">
      <w:pPr>
        <w:ind w:firstLine="709"/>
        <w:jc w:val="both"/>
      </w:pPr>
      <w:r w:rsidRPr="001F2B53">
        <w:t>5</w:t>
      </w:r>
      <w:r w:rsidR="009A2609" w:rsidRPr="001F2B53">
        <w:t>.5.</w:t>
      </w:r>
      <w:r w:rsidR="009A2609" w:rsidRPr="001F2B53">
        <w:rPr>
          <w:b/>
        </w:rPr>
        <w:t xml:space="preserve"> </w:t>
      </w:r>
      <w:r w:rsidR="009A2609" w:rsidRPr="00D54629">
        <w:rPr>
          <w:b/>
        </w:rPr>
        <w:t xml:space="preserve">Mažos vertės pirkimo pažyma </w:t>
      </w:r>
      <w:r w:rsidR="009A2609" w:rsidRPr="00D54629">
        <w:t>–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Mažos vertės pirkimo pažyma nepildoma, kaip pirkimas vykdomas apklausos būdu ir yra apklausiamas tik vienas tiekėjas, o viešojo pirkimo sutartis sudaroma raštu.</w:t>
      </w:r>
    </w:p>
    <w:p w:rsidR="009A2609" w:rsidRPr="00D54629" w:rsidRDefault="00951813" w:rsidP="00D54629">
      <w:pPr>
        <w:autoSpaceDE w:val="0"/>
        <w:autoSpaceDN w:val="0"/>
        <w:adjustRightInd w:val="0"/>
        <w:ind w:firstLine="709"/>
        <w:jc w:val="both"/>
        <w:rPr>
          <w:bCs/>
          <w:color w:val="000000"/>
        </w:rPr>
      </w:pPr>
      <w:r>
        <w:rPr>
          <w:bCs/>
          <w:color w:val="000000"/>
        </w:rPr>
        <w:t>5</w:t>
      </w:r>
      <w:r w:rsidR="009A2609" w:rsidRPr="00951813">
        <w:rPr>
          <w:bCs/>
          <w:color w:val="000000"/>
        </w:rPr>
        <w:t>.6.</w:t>
      </w:r>
      <w:r w:rsidR="009A2609" w:rsidRPr="00D54629">
        <w:rPr>
          <w:b/>
          <w:bCs/>
          <w:color w:val="000000"/>
        </w:rPr>
        <w:t xml:space="preserve"> Pirkimų organizavimas </w:t>
      </w:r>
      <w:r w:rsidR="009A2609" w:rsidRPr="00D54629">
        <w:rPr>
          <w:bCs/>
          <w:color w:val="000000"/>
        </w:rPr>
        <w:t>–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345522" w:rsidRPr="00D54629" w:rsidRDefault="00951813" w:rsidP="00C33DE5">
      <w:pPr>
        <w:ind w:firstLine="709"/>
        <w:jc w:val="both"/>
      </w:pPr>
      <w:r>
        <w:t>6</w:t>
      </w:r>
      <w:r w:rsidR="00345522" w:rsidRPr="00D54629">
        <w:t>. Kitos šiose taisyklėse vartojamos pagrindinės sąvokos apibrėžtos Viešųjų pirkimų įstatyme.</w:t>
      </w:r>
    </w:p>
    <w:p w:rsidR="00345522" w:rsidRPr="00C33DE5" w:rsidRDefault="00345522" w:rsidP="00C33DE5">
      <w:pPr>
        <w:pStyle w:val="Heading1"/>
      </w:pPr>
      <w:bookmarkStart w:id="2" w:name="_Toc263599653"/>
      <w:r w:rsidRPr="00C33DE5">
        <w:t>PIRKIMŲ ORGANIZAVIMAS IR VYKDYMAS</w:t>
      </w:r>
      <w:bookmarkEnd w:id="2"/>
    </w:p>
    <w:p w:rsidR="009A2609" w:rsidRPr="00D54629" w:rsidRDefault="009A2609" w:rsidP="00D54629">
      <w:pPr>
        <w:ind w:firstLine="709"/>
        <w:jc w:val="both"/>
      </w:pPr>
    </w:p>
    <w:p w:rsidR="00E63BE1" w:rsidRDefault="005506D5" w:rsidP="00D54629">
      <w:pPr>
        <w:tabs>
          <w:tab w:val="left" w:pos="1276"/>
          <w:tab w:val="left" w:pos="1320"/>
          <w:tab w:val="left" w:pos="1560"/>
        </w:tabs>
        <w:ind w:firstLine="709"/>
        <w:jc w:val="both"/>
      </w:pPr>
      <w:r w:rsidRPr="001F2B53">
        <w:t xml:space="preserve">7. </w:t>
      </w:r>
      <w:r w:rsidR="00E63BE1">
        <w:t>Perkančioji organizacija ateinantiems metams numatomus pirkimus planuoja vadovaudamasi biudžeto finansinių rodiklių rengimo planu, nurodydama prekių, paslaugų ar darbų kodus pagal Bendrą viešųjų pirkimų žodyną (toliau - BVPŽ), orientacinę vertę ir poreikio pagrindimą.</w:t>
      </w:r>
    </w:p>
    <w:p w:rsidR="009A2609" w:rsidRPr="00D54629" w:rsidRDefault="008960FD" w:rsidP="00D54629">
      <w:pPr>
        <w:tabs>
          <w:tab w:val="left" w:pos="1276"/>
          <w:tab w:val="left" w:pos="1320"/>
          <w:tab w:val="left" w:pos="1560"/>
        </w:tabs>
        <w:ind w:firstLine="709"/>
        <w:jc w:val="both"/>
      </w:pPr>
      <w:r>
        <w:t>8</w:t>
      </w:r>
      <w:r w:rsidR="00161360" w:rsidRPr="00D54629">
        <w:t>. Pirkimas gali būti pradėtas, jei yra patvirtinta mažos vertės viešojo pirkimo paraiška (priedas</w:t>
      </w:r>
      <w:r w:rsidR="00607784">
        <w:t xml:space="preserve"> 2</w:t>
      </w:r>
      <w:r w:rsidR="00161360" w:rsidRPr="00D54629">
        <w:t xml:space="preserve">). </w:t>
      </w:r>
    </w:p>
    <w:p w:rsidR="009A2609" w:rsidRPr="00D54629" w:rsidRDefault="008960FD" w:rsidP="00D54629">
      <w:pPr>
        <w:pStyle w:val="bodytext0"/>
        <w:spacing w:before="0" w:after="0"/>
        <w:ind w:firstLine="709"/>
        <w:jc w:val="both"/>
        <w:rPr>
          <w:lang w:val="lt-LT"/>
        </w:rPr>
      </w:pPr>
      <w:r>
        <w:rPr>
          <w:lang w:val="lt-LT"/>
        </w:rPr>
        <w:t>9</w:t>
      </w:r>
      <w:r w:rsidR="009A2609" w:rsidRPr="00D54629">
        <w:rPr>
          <w:lang w:val="lt-LT"/>
        </w:rPr>
        <w:t>. Pirkimas (pirkimo objekto dalies pirkimas) pasibaigia, kai:</w:t>
      </w:r>
    </w:p>
    <w:p w:rsidR="00161360" w:rsidRPr="00D54629" w:rsidRDefault="008960FD" w:rsidP="00D54629">
      <w:pPr>
        <w:pStyle w:val="Heading4"/>
        <w:ind w:left="0" w:firstLine="709"/>
        <w:rPr>
          <w:szCs w:val="24"/>
        </w:rPr>
      </w:pPr>
      <w:r>
        <w:rPr>
          <w:szCs w:val="24"/>
        </w:rPr>
        <w:t>9</w:t>
      </w:r>
      <w:r w:rsidR="009A2609" w:rsidRPr="00D54629">
        <w:rPr>
          <w:szCs w:val="24"/>
        </w:rPr>
        <w:t>.1. sudaroma pirkimo sut</w:t>
      </w:r>
      <w:r w:rsidR="00161360" w:rsidRPr="00D54629">
        <w:rPr>
          <w:szCs w:val="24"/>
        </w:rPr>
        <w:t>artis (preliminarioji sutartis);</w:t>
      </w:r>
    </w:p>
    <w:p w:rsidR="009A2609" w:rsidRPr="00D54629" w:rsidRDefault="008960FD" w:rsidP="00D54629">
      <w:pPr>
        <w:pStyle w:val="Heading4"/>
        <w:ind w:left="0" w:firstLine="709"/>
        <w:rPr>
          <w:szCs w:val="24"/>
        </w:rPr>
      </w:pPr>
      <w:r>
        <w:rPr>
          <w:szCs w:val="24"/>
        </w:rPr>
        <w:t>9</w:t>
      </w:r>
      <w:r w:rsidR="009A2609" w:rsidRPr="00D54629">
        <w:rPr>
          <w:szCs w:val="24"/>
        </w:rPr>
        <w:t>.2. atmetamos visos paraiškos ir pasiūlymai;</w:t>
      </w:r>
    </w:p>
    <w:p w:rsidR="009A2609" w:rsidRPr="00D54629" w:rsidRDefault="008960FD" w:rsidP="00D54629">
      <w:pPr>
        <w:pStyle w:val="Heading4"/>
        <w:ind w:left="0" w:firstLine="709"/>
        <w:rPr>
          <w:szCs w:val="24"/>
        </w:rPr>
      </w:pPr>
      <w:r>
        <w:rPr>
          <w:szCs w:val="24"/>
        </w:rPr>
        <w:t>9</w:t>
      </w:r>
      <w:r w:rsidR="009A2609" w:rsidRPr="00D54629">
        <w:rPr>
          <w:szCs w:val="24"/>
        </w:rPr>
        <w:t>.3. nutraukiamos pirkimo procedūros;</w:t>
      </w:r>
    </w:p>
    <w:p w:rsidR="009A2609" w:rsidRPr="00D54629" w:rsidRDefault="008960FD" w:rsidP="00D54629">
      <w:pPr>
        <w:pStyle w:val="Heading4"/>
        <w:ind w:left="0" w:firstLine="709"/>
        <w:rPr>
          <w:szCs w:val="24"/>
        </w:rPr>
      </w:pPr>
      <w:r>
        <w:rPr>
          <w:szCs w:val="24"/>
        </w:rPr>
        <w:t>9</w:t>
      </w:r>
      <w:r w:rsidR="009A2609" w:rsidRPr="00D54629">
        <w:rPr>
          <w:szCs w:val="24"/>
        </w:rPr>
        <w:t>.4. per nustatytą terminą nepateikiama nė viena paraiška ar pasiūlymas;</w:t>
      </w:r>
    </w:p>
    <w:p w:rsidR="009A2609" w:rsidRPr="00D54629" w:rsidRDefault="008960FD" w:rsidP="00D54629">
      <w:pPr>
        <w:pStyle w:val="Heading4"/>
        <w:ind w:left="0" w:firstLine="709"/>
        <w:rPr>
          <w:szCs w:val="24"/>
        </w:rPr>
      </w:pPr>
      <w:r>
        <w:rPr>
          <w:szCs w:val="24"/>
        </w:rPr>
        <w:t>9</w:t>
      </w:r>
      <w:r w:rsidR="009A2609" w:rsidRPr="00D54629">
        <w:rPr>
          <w:szCs w:val="24"/>
        </w:rPr>
        <w:t>.5. pasibaigia pasiūlymų galiojimo laikas ir pirkimo sutartis nesudaroma dėl priežasčių, kurios priklauso nuo tiekėjų;</w:t>
      </w:r>
    </w:p>
    <w:p w:rsidR="009A2609" w:rsidRPr="00D54629" w:rsidRDefault="008960FD" w:rsidP="00D54629">
      <w:pPr>
        <w:pStyle w:val="Heading4"/>
        <w:ind w:left="0" w:firstLine="709"/>
        <w:rPr>
          <w:szCs w:val="24"/>
        </w:rPr>
      </w:pPr>
      <w:r>
        <w:rPr>
          <w:szCs w:val="24"/>
        </w:rPr>
        <w:t>9</w:t>
      </w:r>
      <w:r w:rsidR="009A2609" w:rsidRPr="00D54629">
        <w:rPr>
          <w:szCs w:val="24"/>
        </w:rPr>
        <w:t>.6. visi tiekėjai atsiima pasiūlymus ar atsisako sudaryti pirkimo sutartį.</w:t>
      </w:r>
    </w:p>
    <w:p w:rsidR="00345522" w:rsidRPr="00D54629" w:rsidRDefault="008960FD" w:rsidP="00D54629">
      <w:pPr>
        <w:pStyle w:val="bodytext0"/>
        <w:spacing w:before="0" w:after="0"/>
        <w:ind w:firstLine="709"/>
        <w:jc w:val="both"/>
        <w:rPr>
          <w:lang w:val="lt-LT"/>
        </w:rPr>
      </w:pPr>
      <w:r>
        <w:rPr>
          <w:lang w:val="lt-LT"/>
        </w:rPr>
        <w:t>10</w:t>
      </w:r>
      <w:r w:rsidR="009A2609" w:rsidRPr="00D54629">
        <w:rPr>
          <w:lang w:val="lt-LT"/>
        </w:rPr>
        <w:t>.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w:t>
      </w:r>
    </w:p>
    <w:p w:rsidR="00345522" w:rsidRPr="00D54629" w:rsidRDefault="00951813" w:rsidP="00D54629">
      <w:pPr>
        <w:ind w:firstLine="709"/>
        <w:jc w:val="both"/>
      </w:pPr>
      <w:r>
        <w:t>1</w:t>
      </w:r>
      <w:r w:rsidR="008960FD">
        <w:t>1</w:t>
      </w:r>
      <w:r w:rsidR="00345522" w:rsidRPr="00D54629">
        <w:t>. Pirkimus, kurių vertė mažesnė kaip 50 000 Lt vykdo pirkimų organizatorius, o didesnius – pirkimų komisija jei direktorius nenusprendžia kitaip.</w:t>
      </w:r>
    </w:p>
    <w:p w:rsidR="00345522" w:rsidRPr="00D54629" w:rsidRDefault="00345522" w:rsidP="00D54629">
      <w:pPr>
        <w:ind w:firstLine="709"/>
        <w:jc w:val="both"/>
      </w:pPr>
      <w:r w:rsidRPr="00D54629">
        <w:t>1</w:t>
      </w:r>
      <w:r w:rsidR="008960FD">
        <w:t>2</w:t>
      </w:r>
      <w:r w:rsidRPr="00D54629">
        <w:t>. Komisijos pirmininkas, komisijos pirminink</w:t>
      </w:r>
      <w:r w:rsidR="00161360" w:rsidRPr="00D54629">
        <w:t>o pavaduotojas, komisijos narys ir</w:t>
      </w:r>
      <w:r w:rsidRPr="00D54629">
        <w:t xml:space="preserve"> pir</w:t>
      </w:r>
      <w:r w:rsidR="00161360" w:rsidRPr="00D54629">
        <w:t>kimų organizatorius</w:t>
      </w:r>
      <w:r w:rsidRPr="00D54629">
        <w:t xml:space="preserve"> gali atlikti pirkimo procedūras tik prieš tai pasirašęs nešališkumo deklaraciją ir konfiden</w:t>
      </w:r>
      <w:r w:rsidR="00B74178">
        <w:t>cialumo pasižadėjimą.</w:t>
      </w:r>
    </w:p>
    <w:p w:rsidR="00345522" w:rsidRPr="00D54629" w:rsidRDefault="00345522" w:rsidP="00A74CE7">
      <w:pPr>
        <w:ind w:firstLine="709"/>
        <w:jc w:val="both"/>
      </w:pPr>
      <w:r w:rsidRPr="00D54629">
        <w:t>1</w:t>
      </w:r>
      <w:r w:rsidR="008960FD">
        <w:t>3</w:t>
      </w:r>
      <w:r w:rsidRPr="00D54629">
        <w:t>. Perkančiajai organizacijai ir tiekėjams bendraujant tarpusavyje ir keičiantis informacija duomenys turi būti perduodami taip, kad būtų užtikrinamas jų vientisumas, išsaugo</w:t>
      </w:r>
      <w:r w:rsidR="002F3664" w:rsidRPr="00D54629">
        <w:t>mas pasiūlymų konfidencialumas.</w:t>
      </w:r>
    </w:p>
    <w:p w:rsidR="00D86229" w:rsidRPr="00D54629" w:rsidRDefault="00C33DE5" w:rsidP="00A74CE7">
      <w:pPr>
        <w:pStyle w:val="Heading1"/>
      </w:pPr>
      <w:r>
        <w:t xml:space="preserve"> </w:t>
      </w:r>
      <w:bookmarkStart w:id="3" w:name="_Toc263599654"/>
      <w:r w:rsidR="00D86229" w:rsidRPr="00D54629">
        <w:t>TIEKĖJŲ KVALIFIKACIJOS PATIKRINIMAS</w:t>
      </w:r>
      <w:bookmarkEnd w:id="3"/>
    </w:p>
    <w:p w:rsidR="00D86229" w:rsidRPr="00D54629" w:rsidRDefault="00D86229" w:rsidP="00D54629">
      <w:pPr>
        <w:pStyle w:val="NormalWeb"/>
        <w:tabs>
          <w:tab w:val="left" w:pos="1080"/>
          <w:tab w:val="left" w:pos="1320"/>
          <w:tab w:val="left" w:pos="1560"/>
        </w:tabs>
        <w:spacing w:before="0" w:beforeAutospacing="0" w:after="0" w:afterAutospacing="0"/>
        <w:ind w:firstLine="709"/>
        <w:jc w:val="center"/>
        <w:rPr>
          <w:b/>
          <w:szCs w:val="20"/>
        </w:rPr>
      </w:pPr>
    </w:p>
    <w:p w:rsidR="00D86229" w:rsidRPr="00D54629" w:rsidRDefault="00951813" w:rsidP="00D54629">
      <w:pPr>
        <w:pStyle w:val="BodyText"/>
        <w:tabs>
          <w:tab w:val="left" w:pos="1276"/>
          <w:tab w:val="left" w:pos="1418"/>
          <w:tab w:val="left" w:pos="1560"/>
        </w:tabs>
        <w:ind w:firstLine="709"/>
        <w:rPr>
          <w:strike w:val="0"/>
        </w:rPr>
      </w:pPr>
      <w:r>
        <w:rPr>
          <w:strike w:val="0"/>
        </w:rPr>
        <w:t>1</w:t>
      </w:r>
      <w:r w:rsidR="008960FD">
        <w:rPr>
          <w:strike w:val="0"/>
        </w:rPr>
        <w:t>4</w:t>
      </w:r>
      <w:r w:rsidR="00D86229" w:rsidRPr="00D54629">
        <w:rPr>
          <w:strike w:val="0"/>
        </w:rPr>
        <w:t>.</w:t>
      </w:r>
      <w:r w:rsidR="00D86229" w:rsidRPr="00D54629">
        <w:rPr>
          <w:strike w:val="0"/>
        </w:rPr>
        <w:tab/>
        <w:t>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w:t>
      </w:r>
      <w:r w:rsidR="00B74178">
        <w:rPr>
          <w:strike w:val="0"/>
        </w:rPr>
        <w:t>nama informacija apie tiekėjus.</w:t>
      </w:r>
    </w:p>
    <w:p w:rsidR="00345522" w:rsidRPr="00A74CE7" w:rsidRDefault="00951813" w:rsidP="00A74CE7">
      <w:pPr>
        <w:pStyle w:val="NormalWeb"/>
        <w:tabs>
          <w:tab w:val="left" w:pos="1276"/>
          <w:tab w:val="left" w:pos="1418"/>
          <w:tab w:val="left" w:pos="1560"/>
        </w:tabs>
        <w:spacing w:before="0" w:beforeAutospacing="0" w:after="0" w:afterAutospacing="0"/>
        <w:ind w:firstLine="709"/>
        <w:jc w:val="both"/>
        <w:rPr>
          <w:szCs w:val="20"/>
        </w:rPr>
      </w:pPr>
      <w:r>
        <w:rPr>
          <w:szCs w:val="20"/>
        </w:rPr>
        <w:t>1</w:t>
      </w:r>
      <w:r w:rsidR="008960FD">
        <w:rPr>
          <w:szCs w:val="20"/>
        </w:rPr>
        <w:t>5</w:t>
      </w:r>
      <w:r w:rsidR="00D86229" w:rsidRPr="00D54629">
        <w:rPr>
          <w:szCs w:val="20"/>
        </w:rPr>
        <w:t>.</w:t>
      </w:r>
      <w:r w:rsidR="00D86229" w:rsidRPr="00D54629">
        <w:rPr>
          <w:szCs w:val="20"/>
        </w:rPr>
        <w:tab/>
        <w:t>Jei Perkančioji organizacija tikrina tiekėjų kvalifikaciją, visais atvejais privalo patikrinti, ar nėra Įstatymo 33 straipsnio 1 dalyje nustatytų sąlygų. Visi kiti kvalifikacijos reikalavimai gali būti laisvai pasirenkami</w:t>
      </w:r>
      <w:r w:rsidR="00D86229" w:rsidRPr="00D54629">
        <w:rPr>
          <w:color w:val="676767"/>
          <w:szCs w:val="20"/>
        </w:rPr>
        <w:t xml:space="preserve"> </w:t>
      </w:r>
      <w:r w:rsidR="00D86229" w:rsidRPr="00D54629">
        <w:rPr>
          <w:szCs w:val="20"/>
        </w:rPr>
        <w:t>vadovaujantis Įstatymo 32–38 str. nuostatomis ir Viešųjų pirkimų tarnybos direktoriaus įsakymu patvirtintomis Tiekėjų kvalifikacijos vertinimo metodinėmis rekomendacijomis.</w:t>
      </w:r>
    </w:p>
    <w:p w:rsidR="00345522" w:rsidRPr="00C33DE5" w:rsidRDefault="00345522" w:rsidP="00A74CE7">
      <w:pPr>
        <w:pStyle w:val="Heading1"/>
      </w:pPr>
      <w:bookmarkStart w:id="4" w:name="_Toc263599655"/>
      <w:r w:rsidRPr="00C33DE5">
        <w:t>TECHNINĖ SPECIFIKACIJA</w:t>
      </w:r>
      <w:bookmarkEnd w:id="4"/>
    </w:p>
    <w:p w:rsidR="00345522" w:rsidRPr="00D54629" w:rsidRDefault="00345522" w:rsidP="00D54629">
      <w:pPr>
        <w:ind w:firstLine="709"/>
        <w:rPr>
          <w:b/>
        </w:rPr>
      </w:pPr>
    </w:p>
    <w:p w:rsidR="00345522" w:rsidRPr="00D54629" w:rsidRDefault="00951813" w:rsidP="00D54629">
      <w:pPr>
        <w:ind w:firstLine="709"/>
        <w:jc w:val="both"/>
      </w:pPr>
      <w:r>
        <w:t>1</w:t>
      </w:r>
      <w:r w:rsidR="008960FD">
        <w:t>6</w:t>
      </w:r>
      <w:r w:rsidR="00345522" w:rsidRPr="00D54629">
        <w:t>.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45522" w:rsidRPr="00D54629" w:rsidRDefault="00345522" w:rsidP="00A74CE7">
      <w:pPr>
        <w:pStyle w:val="Heading4"/>
        <w:ind w:left="0" w:firstLine="284"/>
      </w:pPr>
    </w:p>
    <w:p w:rsidR="00345522" w:rsidRPr="00C33DE5" w:rsidRDefault="00345522" w:rsidP="00A74CE7">
      <w:pPr>
        <w:pStyle w:val="Heading1"/>
      </w:pPr>
      <w:bookmarkStart w:id="5" w:name="_Toc263599656"/>
      <w:r w:rsidRPr="00C33DE5">
        <w:t>PASIŪLYMŲ VERTINIMAS IR PALYGINIMAS</w:t>
      </w:r>
      <w:bookmarkEnd w:id="5"/>
    </w:p>
    <w:p w:rsidR="00345522" w:rsidRPr="00D54629" w:rsidRDefault="00345522" w:rsidP="00D54629">
      <w:pPr>
        <w:ind w:firstLine="709"/>
        <w:jc w:val="both"/>
      </w:pPr>
    </w:p>
    <w:p w:rsidR="00345522" w:rsidRPr="00D54629" w:rsidRDefault="00951813" w:rsidP="00D54629">
      <w:pPr>
        <w:ind w:firstLine="709"/>
        <w:jc w:val="both"/>
      </w:pPr>
      <w:r>
        <w:t>1</w:t>
      </w:r>
      <w:r w:rsidR="008960FD">
        <w:t>7</w:t>
      </w:r>
      <w:r w:rsidR="00345522" w:rsidRPr="00D54629">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345522" w:rsidRPr="00D54629" w:rsidRDefault="00951813" w:rsidP="00D54629">
      <w:pPr>
        <w:ind w:firstLine="709"/>
        <w:jc w:val="both"/>
      </w:pPr>
      <w:r>
        <w:t>1</w:t>
      </w:r>
      <w:r w:rsidR="008960FD">
        <w:t>8</w:t>
      </w:r>
      <w:r w:rsidR="00345522" w:rsidRPr="00D54629">
        <w:t>.</w:t>
      </w:r>
      <w:bookmarkStart w:id="6" w:name="_Ref532377244"/>
      <w:r w:rsidR="00345522" w:rsidRPr="00D54629">
        <w:t xml:space="preserve"> Perkančioji organizacija pasiūlymus vertina remdamasi vienu iš šių kriterijų:</w:t>
      </w:r>
      <w:bookmarkStart w:id="7" w:name="_Ref532377247"/>
      <w:bookmarkEnd w:id="6"/>
    </w:p>
    <w:p w:rsidR="00345522" w:rsidRPr="00D54629" w:rsidRDefault="00951813" w:rsidP="00D54629">
      <w:pPr>
        <w:ind w:firstLine="709"/>
        <w:jc w:val="both"/>
        <w:rPr>
          <w:i/>
        </w:rPr>
      </w:pPr>
      <w:r>
        <w:t>1</w:t>
      </w:r>
      <w:r w:rsidR="008960FD">
        <w:t>8</w:t>
      </w:r>
      <w:r w:rsidR="00345522" w:rsidRPr="00D54629">
        <w:t>.1. ekonomiškai naudingiausio pasiūlymo. 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w:t>
      </w:r>
      <w:bookmarkEnd w:id="7"/>
      <w:r w:rsidR="00345522" w:rsidRPr="00D54629">
        <w:t xml:space="preserve">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345522" w:rsidRPr="00D54629" w:rsidRDefault="00951813" w:rsidP="00D54629">
      <w:pPr>
        <w:ind w:firstLine="709"/>
        <w:jc w:val="both"/>
      </w:pPr>
      <w:r>
        <w:t>1</w:t>
      </w:r>
      <w:r w:rsidR="008960FD">
        <w:t>8</w:t>
      </w:r>
      <w:r w:rsidR="00345522" w:rsidRPr="00D54629">
        <w:t>.2. mažiausios kainos;</w:t>
      </w:r>
    </w:p>
    <w:p w:rsidR="00345522" w:rsidRPr="00D54629" w:rsidRDefault="00951813" w:rsidP="00D54629">
      <w:pPr>
        <w:ind w:firstLine="709"/>
        <w:jc w:val="both"/>
      </w:pPr>
      <w:r>
        <w:t>1</w:t>
      </w:r>
      <w:r w:rsidR="008960FD">
        <w:t>8</w:t>
      </w:r>
      <w:r w:rsidR="00345522" w:rsidRPr="00D54629">
        <w:t>.3.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345522" w:rsidRPr="00D54629" w:rsidRDefault="00951813" w:rsidP="00A74CE7">
      <w:pPr>
        <w:ind w:firstLine="709"/>
        <w:jc w:val="both"/>
      </w:pPr>
      <w:r>
        <w:t>1</w:t>
      </w:r>
      <w:r w:rsidR="008960FD">
        <w:t>9</w:t>
      </w:r>
      <w:r w:rsidR="00345522" w:rsidRPr="00D54629">
        <w:t xml:space="preserve">. Perkančioji organizacija suinteresuotiems kandidatams ir suinteresuotiems dalyviams, </w:t>
      </w:r>
      <w:r w:rsidR="00345522" w:rsidRPr="00D54629">
        <w:rPr>
          <w:lang w:eastAsia="lt-LT"/>
        </w:rPr>
        <w:t>išskyrus atvejus, kai supaprastinto pirkimo sutarties vertė yra mažesnė kaip 10 000 Lt (be pridėtinės vertės mokesčio),</w:t>
      </w:r>
      <w:r w:rsidR="00345522" w:rsidRPr="00D54629">
        <w:t xml:space="preserve">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45522" w:rsidRPr="00C33DE5" w:rsidRDefault="00345522" w:rsidP="00A74CE7">
      <w:pPr>
        <w:pStyle w:val="Heading1"/>
      </w:pPr>
      <w:bookmarkStart w:id="8" w:name="_Toc263599657"/>
      <w:r w:rsidRPr="00C33DE5">
        <w:t>PIRKIMŲ BŪDAI</w:t>
      </w:r>
      <w:bookmarkEnd w:id="8"/>
    </w:p>
    <w:p w:rsidR="00345522" w:rsidRPr="00D54629" w:rsidRDefault="00345522" w:rsidP="00D54629">
      <w:pPr>
        <w:ind w:firstLine="709"/>
        <w:jc w:val="both"/>
      </w:pPr>
      <w:r w:rsidRPr="00D54629">
        <w:t xml:space="preserve"> </w:t>
      </w:r>
    </w:p>
    <w:p w:rsidR="00345522" w:rsidRPr="00D54629" w:rsidRDefault="008960FD" w:rsidP="00D54629">
      <w:pPr>
        <w:ind w:firstLine="709"/>
        <w:jc w:val="both"/>
      </w:pPr>
      <w:bookmarkStart w:id="9" w:name="_Ref6995084"/>
      <w:r>
        <w:t>20</w:t>
      </w:r>
      <w:r w:rsidR="00345522" w:rsidRPr="00D54629">
        <w:t>. Prekės, paslaugos ir darbai perkami apklausos būdu</w:t>
      </w:r>
      <w:r w:rsidR="00607784">
        <w:t>,</w:t>
      </w:r>
      <w:r w:rsidR="00345522" w:rsidRPr="00D54629">
        <w:t xml:space="preserve"> kai pirkimas atitinka mažos vertės pirkimų sąvoką.</w:t>
      </w:r>
    </w:p>
    <w:p w:rsidR="00345522" w:rsidRPr="00D54629" w:rsidRDefault="00951813" w:rsidP="00D54629">
      <w:pPr>
        <w:pStyle w:val="BodyText"/>
        <w:suppressAutoHyphens/>
        <w:ind w:firstLine="709"/>
        <w:rPr>
          <w:strike w:val="0"/>
          <w:szCs w:val="24"/>
        </w:rPr>
      </w:pPr>
      <w:r>
        <w:rPr>
          <w:strike w:val="0"/>
          <w:szCs w:val="24"/>
        </w:rPr>
        <w:t>2</w:t>
      </w:r>
      <w:r w:rsidR="008960FD">
        <w:rPr>
          <w:strike w:val="0"/>
          <w:szCs w:val="24"/>
        </w:rPr>
        <w:t>1</w:t>
      </w:r>
      <w:r w:rsidR="00345522" w:rsidRPr="00D54629">
        <w:rPr>
          <w:strike w:val="0"/>
          <w:szCs w:val="24"/>
        </w:rPr>
        <w:t>.</w:t>
      </w:r>
      <w:r w:rsidR="00345522" w:rsidRPr="00D54629">
        <w:rPr>
          <w:bCs/>
          <w:strike w:val="0"/>
          <w:szCs w:val="24"/>
        </w:rPr>
        <w:t xml:space="preserve"> </w:t>
      </w:r>
      <w:r w:rsidR="00345522" w:rsidRPr="00D54629">
        <w:rPr>
          <w:strike w:val="0"/>
          <w:szCs w:val="24"/>
        </w:rPr>
        <w:t>Neskelbiant apie pirkimą gali būti perkamos prekės, paslaugos ar darbai, kai:</w:t>
      </w:r>
    </w:p>
    <w:p w:rsidR="00345522" w:rsidRPr="00D54629" w:rsidRDefault="00951813" w:rsidP="00D54629">
      <w:pPr>
        <w:suppressAutoHyphens/>
        <w:ind w:firstLine="709"/>
        <w:jc w:val="both"/>
      </w:pPr>
      <w:r>
        <w:t>2</w:t>
      </w:r>
      <w:r w:rsidR="008960FD">
        <w:t>1</w:t>
      </w:r>
      <w:r w:rsidR="00345522" w:rsidRPr="00D54629">
        <w:t>.1. pirkimas, apie kurį buvo skelbta, neįvyko, nes nebuvo gauta paraiškų ar pasiūlymų;</w:t>
      </w:r>
    </w:p>
    <w:p w:rsidR="00345522" w:rsidRPr="00D54629" w:rsidRDefault="00951813" w:rsidP="00D54629">
      <w:pPr>
        <w:pStyle w:val="Hyperlink3"/>
        <w:suppressAutoHyphens/>
        <w:ind w:firstLine="709"/>
        <w:rPr>
          <w:szCs w:val="24"/>
          <w:lang w:eastAsia="lt-LT"/>
        </w:rPr>
      </w:pPr>
      <w:r>
        <w:rPr>
          <w:szCs w:val="24"/>
          <w:lang w:eastAsia="lt-LT"/>
        </w:rPr>
        <w:t>2</w:t>
      </w:r>
      <w:r w:rsidR="008960FD">
        <w:rPr>
          <w:szCs w:val="24"/>
          <w:lang w:eastAsia="lt-LT"/>
        </w:rPr>
        <w:t>1</w:t>
      </w:r>
      <w:r w:rsidR="00345522" w:rsidRPr="00D54629">
        <w:rPr>
          <w:szCs w:val="24"/>
          <w:lang w:eastAsia="lt-LT"/>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0059451A" w:rsidRPr="00D54629">
        <w:rPr>
          <w:szCs w:val="24"/>
          <w:lang w:eastAsia="lt-LT"/>
        </w:rPr>
        <w:t>pateikę tiekėjai;</w:t>
      </w:r>
    </w:p>
    <w:p w:rsidR="00345522" w:rsidRPr="00D54629" w:rsidRDefault="00951813" w:rsidP="00D54629">
      <w:pPr>
        <w:suppressAutoHyphens/>
        <w:ind w:firstLine="709"/>
        <w:jc w:val="both"/>
      </w:pPr>
      <w:r>
        <w:t>2</w:t>
      </w:r>
      <w:r w:rsidR="008960FD">
        <w:t>1</w:t>
      </w:r>
      <w:r w:rsidR="00345522" w:rsidRPr="00D54629">
        <w:t>.3. dėl įvykių, kurių perkančioji organizacija negalėjo iš anksto numatyti, būtina skubiai įsigyti reikalingų prekių, paslaugų ar darbų. Aplinkybės, kuriomis grindžiama ypatinga skuba, negali priklausyti nuo perkančiosios organizacijos;</w:t>
      </w:r>
    </w:p>
    <w:p w:rsidR="00345522" w:rsidRPr="00D54629" w:rsidRDefault="00951813"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w:t>
      </w:r>
      <w:r w:rsidR="008960FD">
        <w:rPr>
          <w:rFonts w:ascii="Times New Roman" w:hAnsi="Times New Roman"/>
          <w:sz w:val="24"/>
          <w:szCs w:val="24"/>
          <w:lang w:val="lt-LT"/>
        </w:rPr>
        <w:t>1</w:t>
      </w:r>
      <w:r w:rsidR="00345522" w:rsidRPr="00D54629">
        <w:rPr>
          <w:rFonts w:ascii="Times New Roman" w:hAnsi="Times New Roman"/>
          <w:sz w:val="24"/>
          <w:szCs w:val="24"/>
          <w:lang w:val="lt-LT"/>
        </w:rPr>
        <w:t>.4. atliekami mažos vertės prekių ir (ar) paslaugų pirkimai, o numatomos sudaryti pirkimo sutarties vertė yra mažesnė kaip 150 tūkst. Lt (be pridėtinės vertės mokesčio);</w:t>
      </w:r>
    </w:p>
    <w:p w:rsidR="00345522" w:rsidRPr="00D54629" w:rsidRDefault="00951813" w:rsidP="00D54629">
      <w:pPr>
        <w:suppressAutoHyphens/>
        <w:ind w:firstLine="709"/>
        <w:jc w:val="both"/>
      </w:pPr>
      <w:r>
        <w:t>2</w:t>
      </w:r>
      <w:r w:rsidR="008960FD">
        <w:t>2</w:t>
      </w:r>
      <w:r w:rsidR="00345522" w:rsidRPr="00D54629">
        <w:t>. Neskelbiant apie pirkimą gali būti perkamos prekės ir paslaugos:</w:t>
      </w:r>
    </w:p>
    <w:p w:rsidR="00345522" w:rsidRPr="00D54629" w:rsidRDefault="00951813" w:rsidP="00D54629">
      <w:pPr>
        <w:suppressAutoHyphens/>
        <w:ind w:firstLine="709"/>
        <w:jc w:val="both"/>
      </w:pPr>
      <w:r>
        <w:t>2</w:t>
      </w:r>
      <w:r w:rsidR="008960FD">
        <w:t>2</w:t>
      </w:r>
      <w:r w:rsidR="00345522" w:rsidRPr="00D54629">
        <w:t>.1.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45522" w:rsidRPr="00D54629" w:rsidRDefault="00951813" w:rsidP="00D54629">
      <w:pPr>
        <w:suppressAutoHyphens/>
        <w:ind w:firstLine="709"/>
        <w:jc w:val="both"/>
      </w:pPr>
      <w:r>
        <w:t>2</w:t>
      </w:r>
      <w:r w:rsidR="008960FD">
        <w:t>2</w:t>
      </w:r>
      <w:r w:rsidR="00345522" w:rsidRPr="00D54629">
        <w:t>.2. prekės ir paslaugos yra perkamos naudojant reprezentacinėms išlaidoms skirtas lėšas.</w:t>
      </w:r>
    </w:p>
    <w:p w:rsidR="00345522" w:rsidRPr="00D54629" w:rsidRDefault="00951813" w:rsidP="00D54629">
      <w:pPr>
        <w:pStyle w:val="NumPar1"/>
        <w:tabs>
          <w:tab w:val="clear" w:pos="360"/>
        </w:tabs>
        <w:suppressAutoHyphens/>
        <w:spacing w:before="0" w:after="0"/>
        <w:ind w:firstLine="709"/>
        <w:rPr>
          <w:szCs w:val="24"/>
        </w:rPr>
      </w:pPr>
      <w:r>
        <w:rPr>
          <w:szCs w:val="24"/>
        </w:rPr>
        <w:t>2</w:t>
      </w:r>
      <w:r w:rsidR="008960FD">
        <w:rPr>
          <w:szCs w:val="24"/>
        </w:rPr>
        <w:t>3</w:t>
      </w:r>
      <w:r w:rsidR="00345522" w:rsidRPr="00D54629">
        <w:rPr>
          <w:szCs w:val="24"/>
        </w:rPr>
        <w:t>. Neskelbiant apie pirkimą taip pat gali būti perkamos prekės, kai:</w:t>
      </w:r>
    </w:p>
    <w:p w:rsidR="00345522" w:rsidRPr="00D54629" w:rsidRDefault="00951813" w:rsidP="00D54629">
      <w:pPr>
        <w:suppressAutoHyphens/>
        <w:ind w:firstLine="709"/>
        <w:jc w:val="both"/>
      </w:pPr>
      <w:r>
        <w:t>2</w:t>
      </w:r>
      <w:r w:rsidR="008960FD">
        <w:t>3</w:t>
      </w:r>
      <w:r w:rsidR="00345522" w:rsidRPr="00D54629">
        <w:t>.1. perkamos prekės gaminamos tik mokslo, eksperimentavimo, studijų ar techninio tobulinimo tikslais, nesiekiant gauti pelno arba padengti mokslo ar tobulinimo išlaidų;</w:t>
      </w:r>
    </w:p>
    <w:p w:rsidR="00345522" w:rsidRPr="00D54629" w:rsidRDefault="00951813" w:rsidP="00D54629">
      <w:pPr>
        <w:suppressAutoHyphens/>
        <w:ind w:firstLine="709"/>
        <w:jc w:val="both"/>
      </w:pPr>
      <w:r>
        <w:t>2</w:t>
      </w:r>
      <w:r w:rsidR="008960FD">
        <w:t>3</w:t>
      </w:r>
      <w:r w:rsidR="00345522" w:rsidRPr="00D54629">
        <w:t>.3. perkami, prenumeruojami laikraščiai ir žurnalai;</w:t>
      </w:r>
    </w:p>
    <w:p w:rsidR="00345522" w:rsidRPr="00D54629" w:rsidRDefault="00951813" w:rsidP="00D54629">
      <w:pPr>
        <w:suppressAutoHyphens/>
        <w:ind w:firstLine="709"/>
        <w:jc w:val="both"/>
      </w:pPr>
      <w:r>
        <w:t>2</w:t>
      </w:r>
      <w:r w:rsidR="008960FD">
        <w:t>3</w:t>
      </w:r>
      <w:r w:rsidR="00345522" w:rsidRPr="00D54629">
        <w:t>.4. ypač palankiomis sąlygomis perkama iš bankrutuojančių, likviduojamų ar restruktūrizuojamų ūkio subjektų;</w:t>
      </w:r>
    </w:p>
    <w:p w:rsidR="00345522" w:rsidRPr="00D54629" w:rsidRDefault="009573EA" w:rsidP="00D54629">
      <w:pPr>
        <w:suppressAutoHyphens/>
        <w:ind w:firstLine="709"/>
        <w:jc w:val="both"/>
      </w:pPr>
      <w:r>
        <w:t>2</w:t>
      </w:r>
      <w:r w:rsidR="008960FD">
        <w:t>3</w:t>
      </w:r>
      <w:r w:rsidR="00345522" w:rsidRPr="00D54629">
        <w:t>.5. prekės perkamos iš valstybės rezervo.</w:t>
      </w:r>
    </w:p>
    <w:p w:rsidR="00345522" w:rsidRPr="00D54629" w:rsidRDefault="009573EA" w:rsidP="00D54629">
      <w:pPr>
        <w:suppressAutoHyphens/>
        <w:ind w:firstLine="709"/>
        <w:jc w:val="both"/>
      </w:pPr>
      <w:r>
        <w:t>2</w:t>
      </w:r>
      <w:r w:rsidR="008960FD">
        <w:t>4</w:t>
      </w:r>
      <w:r w:rsidR="00345522" w:rsidRPr="00D54629">
        <w:t>. Neskelbiant apie pirkimą taip pat gali būti perkamos paslaugos, kai:</w:t>
      </w:r>
    </w:p>
    <w:p w:rsidR="00345522" w:rsidRPr="00D54629" w:rsidRDefault="009573EA" w:rsidP="00D54629">
      <w:pPr>
        <w:suppressAutoHyphens/>
        <w:ind w:firstLine="709"/>
        <w:jc w:val="both"/>
      </w:pPr>
      <w:r>
        <w:t>2</w:t>
      </w:r>
      <w:r w:rsidR="008960FD">
        <w:t>4</w:t>
      </w:r>
      <w:r w:rsidR="00BE7536" w:rsidRPr="00D54629">
        <w:t>.1. perkamos licencijos</w:t>
      </w:r>
      <w:r w:rsidR="00345522" w:rsidRPr="00D54629">
        <w:t>;</w:t>
      </w:r>
    </w:p>
    <w:p w:rsidR="00345522" w:rsidRPr="00D54629" w:rsidRDefault="009573EA" w:rsidP="00D54629">
      <w:pPr>
        <w:suppressAutoHyphens/>
        <w:ind w:firstLine="709"/>
        <w:jc w:val="both"/>
      </w:pPr>
      <w:r>
        <w:t>2</w:t>
      </w:r>
      <w:r w:rsidR="008960FD">
        <w:t>4</w:t>
      </w:r>
      <w:r w:rsidR="00345522" w:rsidRPr="00D54629">
        <w:t>.2. perkamos perkančiosios organizacijos valstybės tarnautojų ir pagal darbo sutartį dirbančių darbuotojų mokymo paslaugos;</w:t>
      </w:r>
    </w:p>
    <w:p w:rsidR="00345522" w:rsidRPr="00D54629" w:rsidRDefault="009573EA" w:rsidP="00D54629">
      <w:pPr>
        <w:suppressAutoHyphens/>
        <w:ind w:firstLine="709"/>
        <w:jc w:val="both"/>
      </w:pPr>
      <w:r>
        <w:t>2</w:t>
      </w:r>
      <w:r w:rsidR="008960FD">
        <w:t>4</w:t>
      </w:r>
      <w:r w:rsidR="00345522" w:rsidRPr="00D54629">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5522" w:rsidRPr="00D54629" w:rsidRDefault="009573EA" w:rsidP="00D54629">
      <w:pPr>
        <w:suppressAutoHyphens/>
        <w:ind w:firstLine="709"/>
        <w:jc w:val="both"/>
      </w:pPr>
      <w:r>
        <w:t>2</w:t>
      </w:r>
      <w:r w:rsidR="008960FD">
        <w:t>4</w:t>
      </w:r>
      <w:r w:rsidR="00345522" w:rsidRPr="00D54629">
        <w:t>.4. perkamos ekspertų komisijų, komitetų, tarybų, kurių sudarymo tvarką nustato Lietuvos Respublikos įstatymai, narių teikiamos nematerialaus pobūdžio (intelektinės) paslaugos;</w:t>
      </w:r>
    </w:p>
    <w:p w:rsidR="00345522" w:rsidRPr="00D54629" w:rsidRDefault="009573EA" w:rsidP="00D54629">
      <w:pPr>
        <w:suppressAutoHyphens/>
        <w:ind w:firstLine="709"/>
        <w:jc w:val="both"/>
      </w:pPr>
      <w:r>
        <w:t>2</w:t>
      </w:r>
      <w:r w:rsidR="008960FD">
        <w:t>4</w:t>
      </w:r>
      <w:r w:rsidR="00345522" w:rsidRPr="00D54629">
        <w:t>.5. perkamos mokslo ir studijų institucijų veiklos išorinio vertinimo, mokslo, studijų programų, meninės veiklos, taip pat šių institucijų paraiškų, dokumentų, reikalingų leidimui vykdyti studijas ir su studijomis susijusią veiklą gauti, ekspertų vertinimo paslaugos.</w:t>
      </w:r>
    </w:p>
    <w:p w:rsidR="00345522" w:rsidRPr="00D54629" w:rsidRDefault="009573EA" w:rsidP="00D54629">
      <w:pPr>
        <w:suppressAutoHyphens/>
        <w:ind w:firstLine="709"/>
        <w:jc w:val="both"/>
      </w:pPr>
      <w:r>
        <w:t>2</w:t>
      </w:r>
      <w:r w:rsidR="008960FD">
        <w:t>5</w:t>
      </w:r>
      <w:r w:rsidR="00345522" w:rsidRPr="00D54629">
        <w:t>. Neskelbiant apie pirkimą taip pat gali būti perkamos paslaugos ir darbai, kai:</w:t>
      </w:r>
    </w:p>
    <w:p w:rsidR="00345522" w:rsidRPr="00D54629" w:rsidRDefault="009573EA" w:rsidP="00D54629">
      <w:pPr>
        <w:suppressAutoHyphens/>
        <w:ind w:firstLine="709"/>
        <w:jc w:val="both"/>
      </w:pPr>
      <w:r>
        <w:t>2</w:t>
      </w:r>
      <w:r w:rsidR="008960FD">
        <w:t>5</w:t>
      </w:r>
      <w:r w:rsidR="00345522" w:rsidRPr="00D54629">
        <w:t>.1.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w:t>
      </w:r>
      <w:r w:rsidR="00FA4364">
        <w:t xml:space="preserve">utarčių kaina neturi viršyti 30 </w:t>
      </w:r>
      <w:r w:rsidR="00345522" w:rsidRPr="00D54629">
        <w:t>procentų pradinės pirkimo sutarties vertės;</w:t>
      </w:r>
    </w:p>
    <w:p w:rsidR="00534BD2" w:rsidRDefault="009573EA" w:rsidP="00D54629">
      <w:pPr>
        <w:ind w:firstLine="709"/>
        <w:jc w:val="both"/>
      </w:pPr>
      <w:r>
        <w:t>2</w:t>
      </w:r>
      <w:r w:rsidR="008960FD">
        <w:t>5</w:t>
      </w:r>
      <w:r w:rsidR="00345522" w:rsidRPr="00D54629">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w:t>
      </w:r>
      <w:r w:rsidR="00BE7536" w:rsidRPr="00D54629">
        <w:t xml:space="preserve"> vykdyti.</w:t>
      </w:r>
    </w:p>
    <w:p w:rsidR="00345522" w:rsidRPr="00D54629" w:rsidRDefault="009573EA" w:rsidP="00A74CE7">
      <w:pPr>
        <w:ind w:firstLine="709"/>
        <w:jc w:val="both"/>
      </w:pPr>
      <w:r w:rsidRPr="001F2B53">
        <w:t>2</w:t>
      </w:r>
      <w:r w:rsidR="008960FD" w:rsidRPr="001F2B53">
        <w:t>6</w:t>
      </w:r>
      <w:r w:rsidR="00361D7D" w:rsidRPr="001F2B53">
        <w:t xml:space="preserve">. </w:t>
      </w:r>
      <w:r w:rsidR="00361D7D">
        <w:t xml:space="preserve">Perkančioji organizacija privalo įsigyti prekes, paslaugas ir darbus iš </w:t>
      </w:r>
      <w:r w:rsidR="00D87526">
        <w:t>Centrinės perkančiosios organizacijos (CPO)</w:t>
      </w:r>
      <w:r w:rsidR="00361D7D">
        <w:t xml:space="preserve"> arba per ją, kai </w:t>
      </w:r>
      <w:r w:rsidR="00D87526">
        <w:t>CPO</w:t>
      </w:r>
      <w:r w:rsidR="00361D7D">
        <w:t xml:space="preserve">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w:t>
      </w:r>
      <w:bookmarkEnd w:id="9"/>
    </w:p>
    <w:p w:rsidR="00345522" w:rsidRPr="00C33DE5" w:rsidRDefault="00345522" w:rsidP="00A74CE7">
      <w:pPr>
        <w:pStyle w:val="Heading1"/>
      </w:pPr>
      <w:bookmarkStart w:id="10" w:name="_Toc263599658"/>
      <w:r w:rsidRPr="00C33DE5">
        <w:t>APKLAUSA</w:t>
      </w:r>
      <w:bookmarkEnd w:id="10"/>
    </w:p>
    <w:p w:rsidR="00345522" w:rsidRPr="00D54629" w:rsidRDefault="00345522" w:rsidP="00D54629">
      <w:pPr>
        <w:ind w:firstLine="709"/>
        <w:jc w:val="both"/>
      </w:pPr>
    </w:p>
    <w:p w:rsidR="00345522" w:rsidRPr="00D54629" w:rsidRDefault="008960FD" w:rsidP="00D54629">
      <w:pPr>
        <w:ind w:firstLine="709"/>
        <w:jc w:val="both"/>
      </w:pPr>
      <w:r>
        <w:t>27</w:t>
      </w:r>
      <w:r w:rsidR="00345522" w:rsidRPr="00D54629">
        <w:t>. Apklausa atliekama raštu arba žodžiu</w:t>
      </w:r>
      <w:r w:rsidR="00607784" w:rsidRPr="00D54629">
        <w:t>,</w:t>
      </w:r>
      <w:r w:rsidR="00607784">
        <w:t xml:space="preserve"> pildant tiekėjų apklausos pažymą (priedas 4)</w:t>
      </w:r>
      <w:r w:rsidR="00345522" w:rsidRPr="00D54629">
        <w:t>. Tame pačiame pirkime tiekėjai apklausiami ta pačia forma.</w:t>
      </w:r>
    </w:p>
    <w:p w:rsidR="00345522" w:rsidRPr="00D54629" w:rsidRDefault="009573EA" w:rsidP="00D54629">
      <w:pPr>
        <w:ind w:firstLine="709"/>
        <w:jc w:val="both"/>
      </w:pPr>
      <w:r>
        <w:t>2</w:t>
      </w:r>
      <w:r w:rsidR="008960FD">
        <w:t>8</w:t>
      </w:r>
      <w:r w:rsidR="00345522" w:rsidRPr="00D54629">
        <w:t>. Apklausa raštu gali būti atliekama visais atvejais. Apklausa žodžiu gali būti atliekama, jei:</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w:t>
      </w:r>
      <w:r w:rsidR="008960FD">
        <w:rPr>
          <w:rFonts w:ascii="Times New Roman" w:hAnsi="Times New Roman"/>
          <w:sz w:val="24"/>
          <w:szCs w:val="24"/>
          <w:lang w:val="lt-LT"/>
        </w:rPr>
        <w:t>8</w:t>
      </w:r>
      <w:r w:rsidR="00FA4364">
        <w:rPr>
          <w:rFonts w:ascii="Times New Roman" w:hAnsi="Times New Roman"/>
          <w:sz w:val="24"/>
          <w:szCs w:val="24"/>
          <w:lang w:val="lt-LT"/>
        </w:rPr>
        <w:t xml:space="preserve">.1. </w:t>
      </w:r>
      <w:r w:rsidR="00345522" w:rsidRPr="00D54629">
        <w:rPr>
          <w:rFonts w:ascii="Times New Roman" w:hAnsi="Times New Roman"/>
          <w:sz w:val="24"/>
          <w:szCs w:val="24"/>
          <w:lang w:val="lt-LT"/>
        </w:rPr>
        <w:t>numatomos sudaryti pirkimo sutarties vertė yra mažesnė kaip 10 000 Lt (be pridėtinės vertės mokesčio);</w:t>
      </w:r>
    </w:p>
    <w:p w:rsidR="00345522" w:rsidRPr="00D54629" w:rsidRDefault="008960FD"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28</w:t>
      </w:r>
      <w:r w:rsidR="00FA4364">
        <w:rPr>
          <w:rFonts w:ascii="Times New Roman" w:hAnsi="Times New Roman"/>
          <w:sz w:val="24"/>
          <w:szCs w:val="24"/>
          <w:lang w:val="lt-LT"/>
        </w:rPr>
        <w:t xml:space="preserve">.2. </w:t>
      </w:r>
      <w:r w:rsidR="00345522" w:rsidRPr="00D54629">
        <w:rPr>
          <w:rFonts w:ascii="Times New Roman" w:hAnsi="Times New Roman"/>
          <w:sz w:val="24"/>
          <w:szCs w:val="24"/>
          <w:lang w:val="lt-LT"/>
        </w:rPr>
        <w:t>perkama esant ypatingoms aplinkybėms: avarijai, stichinei nelaimei, epidemijai ir kitokiam nenugalimos jėgos poveikiui, kai dėl skubos netikslinga gauti pasiūlymų raštu.</w:t>
      </w:r>
    </w:p>
    <w:p w:rsidR="00345522" w:rsidRPr="00D54629" w:rsidRDefault="009573EA" w:rsidP="00D54629">
      <w:pPr>
        <w:ind w:firstLine="709"/>
        <w:jc w:val="both"/>
      </w:pPr>
      <w:r>
        <w:t>2</w:t>
      </w:r>
      <w:r w:rsidR="008960FD">
        <w:t>9</w:t>
      </w:r>
      <w:r w:rsidR="00345522" w:rsidRPr="00D54629">
        <w:t>. Pirkimo dokumentai gali būti nerengiami, jei atliekama mažos vertės pirkimų apklausa žodžiu:</w:t>
      </w:r>
    </w:p>
    <w:p w:rsidR="00345522" w:rsidRPr="00D54629" w:rsidRDefault="009573EA" w:rsidP="00D54629">
      <w:pPr>
        <w:ind w:firstLine="709"/>
        <w:jc w:val="both"/>
      </w:pPr>
      <w:r>
        <w:t>2</w:t>
      </w:r>
      <w:r w:rsidR="008960FD">
        <w:t>9</w:t>
      </w:r>
      <w:r w:rsidR="00345522" w:rsidRPr="00D54629">
        <w:t>.1. pirkimo sutarties vertė neviršija 10 000 Lt</w:t>
      </w:r>
      <w:r w:rsidR="00FE5F0F" w:rsidRPr="00D54629">
        <w:t xml:space="preserve"> </w:t>
      </w:r>
      <w:r w:rsidR="00345522" w:rsidRPr="00D54629">
        <w:t>(be pridėtinės vertės mokesčio);</w:t>
      </w:r>
    </w:p>
    <w:p w:rsidR="00345522" w:rsidRPr="00D54629" w:rsidRDefault="009573EA" w:rsidP="00D54629">
      <w:pPr>
        <w:ind w:firstLine="709"/>
        <w:jc w:val="both"/>
      </w:pPr>
      <w:r>
        <w:t>2</w:t>
      </w:r>
      <w:r w:rsidR="008960FD">
        <w:t>9</w:t>
      </w:r>
      <w:r w:rsidR="00345522" w:rsidRPr="00D54629">
        <w:t xml:space="preserve">.2. dėl įvykių, kurių </w:t>
      </w:r>
      <w:r w:rsidR="00FE5F0F" w:rsidRPr="00D54629">
        <w:t>perkančioji organizacija</w:t>
      </w:r>
      <w:r w:rsidR="00345522" w:rsidRPr="00D54629">
        <w:t xml:space="preserve"> negalėjo iš anksto numatyti, būtina skubiai įsigyti reikalingų prekių, paslaugų ar darbų, o vykdant apklausą raštu prekių, ar darbų nepavyktų įsigyti laiku.</w:t>
      </w:r>
    </w:p>
    <w:p w:rsidR="00345522" w:rsidRPr="00D54629" w:rsidRDefault="008960FD" w:rsidP="00D54629">
      <w:pPr>
        <w:ind w:firstLine="709"/>
        <w:jc w:val="both"/>
      </w:pPr>
      <w:r>
        <w:t>30</w:t>
      </w:r>
      <w:r w:rsidR="00345522" w:rsidRPr="00D54629">
        <w:t>. Perkančioji organizacija kviečia ne mažiau kaip 3 jos pasirinktus tiekėjus pateikti pasiūlymus.</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3</w:t>
      </w:r>
      <w:r w:rsidR="008960FD">
        <w:rPr>
          <w:rFonts w:ascii="Times New Roman" w:hAnsi="Times New Roman"/>
          <w:sz w:val="24"/>
          <w:szCs w:val="24"/>
          <w:lang w:val="lt-LT"/>
        </w:rPr>
        <w:t>1</w:t>
      </w:r>
      <w:r w:rsidR="00345522" w:rsidRPr="00D54629">
        <w:rPr>
          <w:rFonts w:ascii="Times New Roman" w:hAnsi="Times New Roman"/>
          <w:sz w:val="24"/>
          <w:szCs w:val="24"/>
          <w:lang w:val="lt-LT"/>
        </w:rPr>
        <w:t>. Kviesti vieną tiekėją pateikti pasiūlymą galima, jeigu:</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.2. dėl įvykių, kurių perkančioji organizacija negalėjo iš anksto numatyti, būtina skubiai įsigyti reikalingų prekių, paslaugų ar darbų. Aplinkybės, kuriomis grindžiama ypatinga skuba, negali priklausyti nuo perkančiosios organizacijos;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3</w:t>
      </w:r>
      <w:r w:rsidR="008960FD">
        <w:rPr>
          <w:rFonts w:ascii="Times New Roman" w:hAnsi="Times New Roman"/>
          <w:sz w:val="24"/>
          <w:szCs w:val="24"/>
          <w:lang w:val="lt-LT"/>
        </w:rPr>
        <w:t>1</w:t>
      </w:r>
      <w:r w:rsidR="00345522" w:rsidRPr="00D54629">
        <w:rPr>
          <w:rFonts w:ascii="Times New Roman" w:hAnsi="Times New Roman"/>
          <w:sz w:val="24"/>
          <w:szCs w:val="24"/>
          <w:lang w:val="lt-LT"/>
        </w:rPr>
        <w:t>.4.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.5. ypač palankiomis sąlygomis perkama iš bankrutuojančių, likviduojamų ar restruktūrizuojamų ūkio subjektų;</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.6. perkamos licencijos;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.7. perkamos ekspertų komisijų, komitetų, tarybų, kurių sudarymo tvarką nustato Lietuvos Respublikos įstatymai, narių teikiamos nematerialaus pobūdžio (intelektinės) paslaugos;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.8. numatomos sudaryti pirkimo sutarties vertė yra mažesnė kaip 50 000 Lt (be pridėtinės vertės mokesčio);</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345522" w:rsidRPr="00D54629" w:rsidRDefault="009573EA" w:rsidP="00D54629">
      <w:pPr>
        <w:ind w:firstLine="709"/>
        <w:jc w:val="both"/>
      </w:pPr>
      <w:r>
        <w:t>3</w:t>
      </w:r>
      <w:r w:rsidR="008960FD">
        <w:t>2</w:t>
      </w:r>
      <w:r w:rsidR="00345522" w:rsidRPr="00D54629">
        <w:t xml:space="preserve">. Perkančioji organizacija, skelbdama apie supaprastintą pirkimą, privalo nustatyti pakankamą paraiškų ar pasiūlymų pateikimo terminą, kuris negali būti trumpesnis kaip 7 darbo dienos nuo skelbimo apie pirkimą paskelbimo </w:t>
      </w:r>
      <w:r w:rsidR="00345522" w:rsidRPr="00D54629">
        <w:rPr>
          <w:bCs/>
        </w:rPr>
        <w:t>Centrinėje viešųjų pirkimų informacinėje sistemoje</w:t>
      </w:r>
      <w:r w:rsidR="00345522" w:rsidRPr="00D54629">
        <w:rPr>
          <w:b/>
        </w:rPr>
        <w:t xml:space="preserve"> </w:t>
      </w:r>
      <w:r w:rsidR="00345522" w:rsidRPr="00D54629">
        <w:t>dienos. Jei apie pirkimą neskelbiama, apklausos siūlymų pateikimo terminas neturi pažeisti protingumo principų.</w:t>
      </w:r>
    </w:p>
    <w:p w:rsidR="00345522" w:rsidRPr="00A74CE7" w:rsidRDefault="009573EA" w:rsidP="00A74CE7">
      <w:pPr>
        <w:pStyle w:val="bodytext0"/>
        <w:spacing w:before="0" w:after="0"/>
        <w:ind w:firstLine="709"/>
        <w:jc w:val="both"/>
        <w:rPr>
          <w:lang w:val="lt-LT"/>
        </w:rPr>
      </w:pPr>
      <w:r>
        <w:rPr>
          <w:lang w:val="lt-LT"/>
        </w:rPr>
        <w:t>3</w:t>
      </w:r>
      <w:r w:rsidR="008960FD">
        <w:rPr>
          <w:lang w:val="lt-LT"/>
        </w:rPr>
        <w:t>3</w:t>
      </w:r>
      <w:r w:rsidR="00345522" w:rsidRPr="00D54629">
        <w:rPr>
          <w:lang w:val="lt-LT"/>
        </w:rPr>
        <w:t>. Nepažeisdami viešųjų pirkimų principų pirkimų organizatoriai turi teisę derėtis su dalyviais dėl pasiūlymų kainos, siūlomų prekių, paslaugų ar darbų charakteristikų ir visų kitų pasiūlymų sąlygų. Derybos turi būti protokoluojamos, išskyrus atvejus, kai apklausa atliekama žodžiu. Derybų protokolą pasirašo pirkimų organizatorius ir dalyvio, su kuriuo buvo derėtasi, įgaliotas atstovas.</w:t>
      </w:r>
    </w:p>
    <w:p w:rsidR="00345522" w:rsidRPr="00C33DE5" w:rsidRDefault="00345522" w:rsidP="00A74CE7">
      <w:pPr>
        <w:pStyle w:val="Heading1"/>
      </w:pPr>
      <w:bookmarkStart w:id="11" w:name="_Toc263599659"/>
      <w:r w:rsidRPr="00C33DE5">
        <w:t>PIRKIMO SUTARTIS</w:t>
      </w:r>
      <w:bookmarkEnd w:id="11"/>
    </w:p>
    <w:p w:rsidR="00345522" w:rsidRPr="00D54629" w:rsidRDefault="00345522" w:rsidP="00D54629">
      <w:pPr>
        <w:ind w:firstLine="709"/>
        <w:jc w:val="both"/>
      </w:pPr>
    </w:p>
    <w:p w:rsidR="00345522" w:rsidRPr="00E85222" w:rsidRDefault="009573EA" w:rsidP="00FA4364">
      <w:pPr>
        <w:pStyle w:val="Heading2"/>
        <w:suppressAutoHyphens/>
        <w:spacing w:before="0"/>
        <w:ind w:firstLine="709"/>
        <w:jc w:val="both"/>
        <w:rPr>
          <w:rFonts w:ascii="Times New Roman" w:hAnsi="Times New Roman"/>
          <w:b w:val="0"/>
          <w:color w:val="auto"/>
          <w:sz w:val="24"/>
        </w:rPr>
      </w:pPr>
      <w:bookmarkStart w:id="12" w:name="_Toc263599660"/>
      <w:r>
        <w:rPr>
          <w:rFonts w:ascii="Times New Roman" w:hAnsi="Times New Roman"/>
          <w:b w:val="0"/>
          <w:color w:val="auto"/>
          <w:sz w:val="24"/>
        </w:rPr>
        <w:t>3</w:t>
      </w:r>
      <w:r w:rsidR="008960FD">
        <w:rPr>
          <w:rFonts w:ascii="Times New Roman" w:hAnsi="Times New Roman"/>
          <w:b w:val="0"/>
          <w:color w:val="auto"/>
          <w:sz w:val="24"/>
        </w:rPr>
        <w:t>4</w:t>
      </w:r>
      <w:r w:rsidR="00345522" w:rsidRPr="00E85222">
        <w:rPr>
          <w:rFonts w:ascii="Times New Roman" w:hAnsi="Times New Roman"/>
          <w:b w:val="0"/>
          <w:color w:val="auto"/>
          <w:sz w:val="24"/>
        </w:rPr>
        <w:t>. Pirkimo sutarties sudarymo ir jos turinio reikalavimus nustato Viešųjų pirkimų įstatymo 18 straipsnis. Atlikdama mažos vertės pirkimus perkančioji organizacija neprivalo vadovautis Viešųjų pirkimų įstatymo 18 straipsnio 1, 2, 3 ir 6 dalių reikalavimais.</w:t>
      </w:r>
      <w:bookmarkEnd w:id="12"/>
    </w:p>
    <w:p w:rsidR="00345522" w:rsidRPr="00D54629" w:rsidRDefault="009573EA" w:rsidP="00D54629">
      <w:pPr>
        <w:ind w:firstLine="709"/>
        <w:jc w:val="both"/>
      </w:pPr>
      <w:r>
        <w:t>3</w:t>
      </w:r>
      <w:r w:rsidR="008960FD">
        <w:t>5</w:t>
      </w:r>
      <w:r w:rsidR="00345522" w:rsidRPr="00D54629">
        <w:t xml:space="preserve">. Pirkimo sutarties sąlygos pirkimo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w:t>
      </w:r>
      <w:r w:rsidR="00345522" w:rsidRPr="00D54629">
        <w:rPr>
          <w:bCs/>
        </w:rPr>
        <w:t>Viešųjų pirkimų tarnybos sutikimo nereikalaujama, kai atlikus supaprastintą pirkimą sudarytos pirkimo sutarties vertė yra mažesnė kaip 10 000 Lt</w:t>
      </w:r>
      <w:r w:rsidR="00345522" w:rsidRPr="00D54629">
        <w:t xml:space="preserve"> </w:t>
      </w:r>
      <w:r w:rsidR="00345522" w:rsidRPr="00D54629">
        <w:rPr>
          <w:bCs/>
        </w:rPr>
        <w:t xml:space="preserve">(be pridėtinės vertės mokesčio) arba kai </w:t>
      </w:r>
      <w:r w:rsidR="00345522" w:rsidRPr="00D54629">
        <w:t>pirkimo sutartis sudaryta atlikus mažos vertės pirkimą</w:t>
      </w:r>
      <w:r w:rsidR="00345522" w:rsidRPr="00D54629">
        <w:rPr>
          <w:bCs/>
        </w:rPr>
        <w:t>.</w:t>
      </w:r>
    </w:p>
    <w:p w:rsidR="00345522" w:rsidRPr="00D54629" w:rsidRDefault="009573EA" w:rsidP="00D54629">
      <w:pPr>
        <w:ind w:firstLine="709"/>
        <w:jc w:val="both"/>
      </w:pPr>
      <w:r>
        <w:t>3</w:t>
      </w:r>
      <w:r w:rsidR="008960FD">
        <w:t>6</w:t>
      </w:r>
      <w:r w:rsidR="00345522" w:rsidRPr="00D54629">
        <w:t>. Pirkimo sutartis turi būti sudaroma nedelsiant, bet ne anksčiau, negu pasibaigė atidėjimo terminas. Atidėjimo terminas gali būti netaikomas, kai:</w:t>
      </w:r>
    </w:p>
    <w:p w:rsidR="00345522" w:rsidRPr="00D54629" w:rsidRDefault="009573EA" w:rsidP="00D54629">
      <w:pPr>
        <w:ind w:firstLine="709"/>
        <w:jc w:val="both"/>
        <w:rPr>
          <w:strike/>
        </w:rPr>
      </w:pPr>
      <w:r>
        <w:t>3</w:t>
      </w:r>
      <w:r w:rsidR="008960FD">
        <w:t>6</w:t>
      </w:r>
      <w:r w:rsidR="00345522" w:rsidRPr="00D54629">
        <w:t>.1. vienintelis suinteresuotas dalyvis yra tas, su kuriuo sudaroma pirkimo sutartis, ir nėra suinteresuotų kandidatų;</w:t>
      </w:r>
    </w:p>
    <w:p w:rsidR="00345522" w:rsidRPr="00D54629" w:rsidRDefault="009573EA" w:rsidP="00D54629">
      <w:pPr>
        <w:ind w:firstLine="709"/>
        <w:jc w:val="both"/>
      </w:pPr>
      <w:r>
        <w:t>3</w:t>
      </w:r>
      <w:r w:rsidR="008960FD">
        <w:t>6</w:t>
      </w:r>
      <w:r w:rsidR="00345522" w:rsidRPr="00D54629">
        <w:t>.2. pirkimo sutartis sudaroma dinaminės pirkimo sistemos pagrindu arba perkančioji organizacija pirkimo sutartį sudaro preliminariosios sutarties pagrindu;</w:t>
      </w:r>
    </w:p>
    <w:p w:rsidR="00345522" w:rsidRPr="00D54629" w:rsidRDefault="009573EA" w:rsidP="00D54629">
      <w:pPr>
        <w:ind w:firstLine="709"/>
        <w:jc w:val="both"/>
      </w:pPr>
      <w:r>
        <w:t>3</w:t>
      </w:r>
      <w:r w:rsidR="008960FD">
        <w:t>6</w:t>
      </w:r>
      <w:r w:rsidR="00345522" w:rsidRPr="00D54629">
        <w:t>.3. pirkimo sutarties vertė yra mažesnė kaip 10 000 Lt (be pridėtinės vertės mokesčio);</w:t>
      </w:r>
    </w:p>
    <w:p w:rsidR="00345522" w:rsidRPr="00D54629" w:rsidRDefault="009573EA" w:rsidP="00D54629">
      <w:pPr>
        <w:ind w:firstLine="709"/>
        <w:jc w:val="both"/>
      </w:pPr>
      <w:r>
        <w:t>3</w:t>
      </w:r>
      <w:r w:rsidR="008960FD">
        <w:t>6</w:t>
      </w:r>
      <w:r w:rsidR="00345522" w:rsidRPr="00D54629">
        <w:t>.4. kai pirkimo sutartis sudaroma atliekant mažos vertės pirkimą.</w:t>
      </w:r>
    </w:p>
    <w:p w:rsidR="00345522" w:rsidRPr="00D54629" w:rsidRDefault="009573EA" w:rsidP="00D54629">
      <w:pPr>
        <w:ind w:firstLine="709"/>
        <w:jc w:val="both"/>
      </w:pPr>
      <w:r>
        <w:t>3</w:t>
      </w:r>
      <w:r w:rsidR="008960FD">
        <w:t>7</w:t>
      </w:r>
      <w:r w:rsidR="00345522" w:rsidRPr="00D54629">
        <w:t>. Perkančiajai organizacijai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 pretenziją pateikusiam tiekėjui, suinteresuotiems kandidatams ir suinteresuotiems dalyviams dienos.</w:t>
      </w:r>
    </w:p>
    <w:p w:rsidR="00345522" w:rsidRPr="00D54629" w:rsidRDefault="009573EA" w:rsidP="00D54629">
      <w:pPr>
        <w:tabs>
          <w:tab w:val="left" w:pos="993"/>
        </w:tabs>
        <w:ind w:firstLine="709"/>
        <w:jc w:val="both"/>
      </w:pPr>
      <w:r>
        <w:t>3</w:t>
      </w:r>
      <w:r w:rsidR="008960FD">
        <w:t>8</w:t>
      </w:r>
      <w:r w:rsidR="00345522" w:rsidRPr="00D54629">
        <w:t>. Perkančioji organizacija, gavusi tiekėjo prašymo ar ieškinio teismui kopiją, negali sudaryti pirkimo sutarties, kol nesibaigė atidėjimo terminas ar Viešųjų pirkimų įstatymo 94</w:t>
      </w:r>
      <w:r w:rsidR="00345522" w:rsidRPr="00D54629">
        <w:rPr>
          <w:vertAlign w:val="superscript"/>
        </w:rPr>
        <w:t>1</w:t>
      </w:r>
      <w:r w:rsidR="00345522" w:rsidRPr="00D54629">
        <w:t xml:space="preserve"> straipsnio 2 dalyje, 95</w:t>
      </w:r>
      <w:r w:rsidR="00345522" w:rsidRPr="00D54629">
        <w:rPr>
          <w:vertAlign w:val="superscript"/>
        </w:rPr>
        <w:t>1</w:t>
      </w:r>
      <w:r w:rsidR="00345522" w:rsidRPr="00D54629">
        <w:t xml:space="preserve"> straipsnio 3 dalies 3 punkte ir 95</w:t>
      </w:r>
      <w:r w:rsidR="00345522" w:rsidRPr="00D54629">
        <w:rPr>
          <w:vertAlign w:val="superscript"/>
        </w:rPr>
        <w:t>1</w:t>
      </w:r>
      <w:r w:rsidR="00345522" w:rsidRPr="00D54629">
        <w:t xml:space="preserve"> straipsnio 4 dalies 3 punkte nurodyti terminai ir kol perkančioji organizacija negavo teismo pranešimo apie:</w:t>
      </w:r>
    </w:p>
    <w:p w:rsidR="00345522" w:rsidRPr="00D54629" w:rsidRDefault="009573EA" w:rsidP="00D54629">
      <w:pPr>
        <w:tabs>
          <w:tab w:val="left" w:pos="993"/>
        </w:tabs>
        <w:ind w:firstLine="709"/>
        <w:jc w:val="both"/>
      </w:pPr>
      <w:r>
        <w:t>3</w:t>
      </w:r>
      <w:r w:rsidR="008960FD">
        <w:t>8</w:t>
      </w:r>
      <w:r w:rsidR="00345522" w:rsidRPr="00D54629">
        <w:t>.1. motyvuotą teismo nutartį, kuria atsisakoma priimti ieškinį;</w:t>
      </w:r>
    </w:p>
    <w:p w:rsidR="00345522" w:rsidRPr="00D54629" w:rsidRDefault="009573EA" w:rsidP="00D54629">
      <w:pPr>
        <w:tabs>
          <w:tab w:val="left" w:pos="993"/>
        </w:tabs>
        <w:ind w:firstLine="709"/>
        <w:jc w:val="both"/>
      </w:pPr>
      <w:r>
        <w:t>3</w:t>
      </w:r>
      <w:r w:rsidR="008960FD">
        <w:t>8</w:t>
      </w:r>
      <w:r w:rsidR="00345522" w:rsidRPr="00D54629">
        <w:t>.2. motyvuotą teismo nutartį dėl tiekėjo prašymo taikyti laikinąsias apsaugos priemones atmetimo, kai šis prašymas teisme buvo gautas iki ieškinio pareiškimo;</w:t>
      </w:r>
    </w:p>
    <w:p w:rsidR="00345522" w:rsidRPr="00D54629" w:rsidRDefault="009573EA" w:rsidP="00D54629">
      <w:pPr>
        <w:tabs>
          <w:tab w:val="left" w:pos="993"/>
        </w:tabs>
        <w:ind w:firstLine="709"/>
        <w:jc w:val="both"/>
      </w:pPr>
      <w:r>
        <w:t>3</w:t>
      </w:r>
      <w:r w:rsidR="008960FD">
        <w:t>8</w:t>
      </w:r>
      <w:r w:rsidR="00345522" w:rsidRPr="00D54629">
        <w:t>.3. teismo rezoliuciją priimti ieškinį netaikant laikinųjų apsaugos priemonių.</w:t>
      </w:r>
    </w:p>
    <w:p w:rsidR="00345522" w:rsidRPr="00D54629" w:rsidRDefault="009573EA" w:rsidP="00D54629">
      <w:pPr>
        <w:suppressAutoHyphens/>
        <w:ind w:firstLine="709"/>
        <w:jc w:val="both"/>
        <w:rPr>
          <w:bCs/>
          <w:lang w:eastAsia="lt-LT"/>
        </w:rPr>
      </w:pPr>
      <w:r>
        <w:rPr>
          <w:bCs/>
          <w:lang w:eastAsia="lt-LT"/>
        </w:rPr>
        <w:t>3</w:t>
      </w:r>
      <w:r w:rsidR="008960FD">
        <w:rPr>
          <w:bCs/>
          <w:lang w:eastAsia="lt-LT"/>
        </w:rPr>
        <w:t>9</w:t>
      </w:r>
      <w:r w:rsidR="00345522" w:rsidRPr="00D54629">
        <w:rPr>
          <w:bCs/>
          <w:lang w:eastAsia="lt-LT"/>
        </w:rPr>
        <w:t>. Pirkimo sutartis gali būti sudaroma žodžiu, kai atliekami supaprastinti pirkimai, kurių pirkimo sutarties vertė yra mažesnė kaip 10 000 Lt (be pridėtinės vertės mokesčio).</w:t>
      </w:r>
    </w:p>
    <w:p w:rsidR="00345522" w:rsidRPr="00D54629" w:rsidRDefault="008960FD" w:rsidP="00D54629">
      <w:pPr>
        <w:ind w:firstLine="709"/>
        <w:jc w:val="both"/>
      </w:pPr>
      <w:r>
        <w:rPr>
          <w:bCs/>
          <w:lang w:eastAsia="lt-LT"/>
        </w:rPr>
        <w:t>40</w:t>
      </w:r>
      <w:r w:rsidR="00345522" w:rsidRPr="00D54629">
        <w:rPr>
          <w:bCs/>
          <w:lang w:eastAsia="lt-LT"/>
        </w:rPr>
        <w:t xml:space="preserve">. </w:t>
      </w:r>
      <w:r w:rsidR="00345522" w:rsidRPr="00D54629">
        <w:t>Pirkimo sutartis vykdoma ir nutraukiama vadovaujantis Lietuvos Respublikos civiliniu kodeksu.</w:t>
      </w:r>
    </w:p>
    <w:p w:rsidR="00345522" w:rsidRPr="00D54629" w:rsidRDefault="009573EA" w:rsidP="00A74CE7">
      <w:pPr>
        <w:ind w:firstLine="709"/>
        <w:jc w:val="both"/>
      </w:pPr>
      <w:r>
        <w:t>4</w:t>
      </w:r>
      <w:r w:rsidR="008960FD">
        <w:t>1</w:t>
      </w:r>
      <w:r w:rsidR="00345522" w:rsidRPr="00D54629">
        <w:t>. Perkančioji organizacija gali sudaryti preliminariąją sutartį, atitinkančią Viešųjų pirkimų įstatymo 63 straipsnio nuostatas.</w:t>
      </w:r>
    </w:p>
    <w:p w:rsidR="00345522" w:rsidRPr="00C33DE5" w:rsidRDefault="00345522" w:rsidP="00A74CE7">
      <w:pPr>
        <w:pStyle w:val="Heading1"/>
      </w:pPr>
      <w:bookmarkStart w:id="13" w:name="_Toc263599661"/>
      <w:r w:rsidRPr="00C33DE5">
        <w:t>PIRKIMŲ VIEŠINIMAS</w:t>
      </w:r>
      <w:bookmarkEnd w:id="13"/>
    </w:p>
    <w:p w:rsidR="00345522" w:rsidRPr="00D54629" w:rsidRDefault="00345522" w:rsidP="00D54629">
      <w:pPr>
        <w:ind w:firstLine="709"/>
        <w:jc w:val="both"/>
      </w:pPr>
    </w:p>
    <w:p w:rsidR="000F454E" w:rsidRPr="00D54629" w:rsidRDefault="009573EA" w:rsidP="00D54629">
      <w:pPr>
        <w:ind w:firstLine="709"/>
        <w:jc w:val="both"/>
      </w:pPr>
      <w:r>
        <w:t>4</w:t>
      </w:r>
      <w:r w:rsidR="008960FD">
        <w:t>2</w:t>
      </w:r>
      <w:r w:rsidR="00345522" w:rsidRPr="00D54629">
        <w:t>. Perkančioji organizacija rengia ir tvirtina planuojamų atlikti einamaisiais biudžetiniais metais viešųjų pirkimų planus ir kiekvienais metais, ne vėliau kaip iki kovo 15 dienos, o šiuos planus patikslinusi – nedelsdama</w:t>
      </w:r>
      <w:r w:rsidR="00345522" w:rsidRPr="00607784">
        <w:rPr>
          <w:b/>
        </w:rPr>
        <w:t>,</w:t>
      </w:r>
      <w:r w:rsidR="00345522" w:rsidRPr="00D54629">
        <w:t xml:space="preserve"> Centrinėje viešųjų pirkimų informacinėje </w:t>
      </w:r>
      <w:r w:rsidR="00485390" w:rsidRPr="00D54629">
        <w:t xml:space="preserve">sistemoje </w:t>
      </w:r>
      <w:r w:rsidR="00345522" w:rsidRPr="00D54629">
        <w:t xml:space="preserve">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345522" w:rsidRPr="00D54629">
        <w:rPr>
          <w:rFonts w:eastAsia="TimesNewRomanPSMT"/>
        </w:rPr>
        <w:t xml:space="preserve">Perkančioji organizacija taip pat gali skelbti pirkimų, kuriems šiame punkte nustatytas techninių specifikacijų projektų skelbimo reikalavimas netaikomas, techninių specifikacijų projektus. </w:t>
      </w:r>
      <w:r w:rsidR="00345522" w:rsidRPr="00D54629">
        <w:t>Viešųjų pirkimų suvestinė</w:t>
      </w:r>
      <w:r w:rsidR="00607784">
        <w:t xml:space="preserve"> (priedas 1)</w:t>
      </w:r>
      <w:r w:rsidR="00345522" w:rsidRPr="00D54629">
        <w:t xml:space="preserve"> ir techninių specifikacijų projektai skelbiami ir dėl šių projektų gautos pastabos ir pasiūlymai įvertinami Viešųjų pirkimų tarnybos nustatyta tvarka.</w:t>
      </w:r>
    </w:p>
    <w:p w:rsidR="00345522" w:rsidRPr="00D54629" w:rsidRDefault="009573EA" w:rsidP="00A74CE7">
      <w:pPr>
        <w:ind w:firstLine="709"/>
        <w:jc w:val="both"/>
      </w:pPr>
      <w:r>
        <w:t>4</w:t>
      </w:r>
      <w:r w:rsidR="008960FD">
        <w:t>3</w:t>
      </w:r>
      <w:r w:rsidR="000F454E" w:rsidRPr="00D54629">
        <w:t xml:space="preserve">. Perkančioji organizacija, atlikdama mažos vertės pirkimus, neprivalo vadovautis Viešųjų pirkimų įstatymo </w:t>
      </w:r>
      <w:r w:rsidR="000F454E" w:rsidRPr="001F2B53">
        <w:t>7 straipsnio 1 dalimi, t.y. turi teis</w:t>
      </w:r>
      <w:r w:rsidR="000F454E" w:rsidRPr="00D54629">
        <w:t>ę neskelbti Centrinėje viešųjų pirkimų informacinėje sistemoje</w:t>
      </w:r>
      <w:r w:rsidR="000F4351" w:rsidRPr="00D54629">
        <w:t xml:space="preserve"> einamųjų biudžetinių metų mažos vertės pirkimų planų.</w:t>
      </w:r>
    </w:p>
    <w:p w:rsidR="00345522" w:rsidRPr="00C33DE5" w:rsidRDefault="00345522" w:rsidP="00A74CE7">
      <w:pPr>
        <w:pStyle w:val="Heading1"/>
      </w:pPr>
      <w:bookmarkStart w:id="14" w:name="_Toc263599662"/>
      <w:r w:rsidRPr="00C33DE5">
        <w:t>BAIGIAMOSIOS NUOSTATOS</w:t>
      </w:r>
      <w:bookmarkEnd w:id="14"/>
    </w:p>
    <w:p w:rsidR="00345522" w:rsidRPr="00D54629" w:rsidRDefault="00345522" w:rsidP="00D54629">
      <w:pPr>
        <w:ind w:firstLine="709"/>
        <w:jc w:val="both"/>
      </w:pPr>
    </w:p>
    <w:p w:rsidR="00345522" w:rsidRPr="00D54629" w:rsidRDefault="009573EA" w:rsidP="00D54629">
      <w:pPr>
        <w:pStyle w:val="bodytext0"/>
        <w:suppressAutoHyphens/>
        <w:spacing w:before="0" w:after="0"/>
        <w:ind w:firstLine="709"/>
        <w:jc w:val="both"/>
        <w:rPr>
          <w:lang w:val="lt-LT"/>
        </w:rPr>
      </w:pPr>
      <w:r>
        <w:rPr>
          <w:lang w:val="lt-LT"/>
        </w:rPr>
        <w:t>4</w:t>
      </w:r>
      <w:r w:rsidR="008960FD">
        <w:rPr>
          <w:lang w:val="lt-LT"/>
        </w:rPr>
        <w:t>4</w:t>
      </w:r>
      <w:r w:rsidR="00345522" w:rsidRPr="00D54629">
        <w:rPr>
          <w:lang w:val="lt-LT"/>
        </w:rPr>
        <w:t>. Pirkimo metu kylančius ginčus reglamentuoja Viešųjų pirkimų įstatymo V skyrius. Motyvuotą sprendimą dėl pretenzijos priima komisija arba pirkimų organizatoriai priklausomai nuo to, kas atlieka konkretaus supaprastinto pirkimo procedūras.</w:t>
      </w:r>
    </w:p>
    <w:p w:rsidR="00345522" w:rsidRPr="00D54629" w:rsidRDefault="009573EA" w:rsidP="00D54629">
      <w:pPr>
        <w:pStyle w:val="bodytext0"/>
        <w:suppressAutoHyphens/>
        <w:spacing w:before="0" w:after="0"/>
        <w:ind w:firstLine="709"/>
        <w:jc w:val="both"/>
        <w:rPr>
          <w:lang w:val="lt-LT"/>
        </w:rPr>
      </w:pPr>
      <w:r>
        <w:rPr>
          <w:lang w:val="lt-LT"/>
        </w:rPr>
        <w:t>4</w:t>
      </w:r>
      <w:r w:rsidR="008960FD">
        <w:rPr>
          <w:lang w:val="lt-LT"/>
        </w:rPr>
        <w:t>5</w:t>
      </w:r>
      <w:r w:rsidR="00345522" w:rsidRPr="00D54629">
        <w:rPr>
          <w:lang w:val="lt-LT"/>
        </w:rPr>
        <w:t>.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7B2F51" w:rsidRPr="001F2B53" w:rsidRDefault="009573EA" w:rsidP="007B2F51">
      <w:pPr>
        <w:suppressAutoHyphens/>
        <w:ind w:firstLine="709"/>
        <w:jc w:val="both"/>
      </w:pPr>
      <w:r>
        <w:t>4</w:t>
      </w:r>
      <w:r w:rsidR="008960FD">
        <w:t>6</w:t>
      </w:r>
      <w:r w:rsidR="00345522" w:rsidRPr="00D54629">
        <w:t>.</w:t>
      </w:r>
      <w:r w:rsidR="007B2F51">
        <w:t xml:space="preserve"> 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w:t>
      </w:r>
      <w:r w:rsidR="007B2F51" w:rsidRPr="001F2B53">
        <w:t>30 kalendorinių dienų, pasibaigus ataskaitiniams kalendoriniams metams.</w:t>
      </w:r>
    </w:p>
    <w:p w:rsidR="007B2F51" w:rsidRDefault="007B2F51" w:rsidP="007B2F51">
      <w:pPr>
        <w:suppressAutoHyphens/>
        <w:ind w:firstLine="709"/>
        <w:jc w:val="both"/>
      </w:pPr>
      <w:r>
        <w:t>4</w:t>
      </w:r>
      <w:r w:rsidR="008960FD">
        <w:t>7</w:t>
      </w:r>
      <w:r>
        <w:t>. Kiekvieną atliktą supaprastintą pirkimą perkančioji organizacija registruoja supaprastintų pirkimų žurnale (toliau - Žurnalas)</w:t>
      </w:r>
      <w:r w:rsidR="00607784">
        <w:t xml:space="preserve"> (priedas 3)</w:t>
      </w:r>
      <w:r>
        <w:t>. Žurnale turi būti šie rekvizitai: supaprastinto pirkimo pavadinimas, prekių, paslaugų ar darbų kodai pagal BVPŽ, pirkimo sutarties numeris ir sudarymo data bei pirkimo sutarties trukmė (pildoma, kai sudaryta sutartis), tiekėjo pavadinimas, jei reikia – kita su pirkimu susijusi informacija.</w:t>
      </w:r>
    </w:p>
    <w:p w:rsidR="00345522" w:rsidRPr="00D54629" w:rsidRDefault="009573EA" w:rsidP="007B2F51">
      <w:pPr>
        <w:suppressAutoHyphens/>
        <w:ind w:firstLine="709"/>
        <w:jc w:val="both"/>
      </w:pPr>
      <w:r>
        <w:t>4</w:t>
      </w:r>
      <w:r w:rsidR="008960FD" w:rsidRPr="001F2B53">
        <w:t>8</w:t>
      </w:r>
      <w:r w:rsidR="00345522" w:rsidRPr="00D54629">
        <w:t xml:space="preserve">. Perkančioji organizacija, komisija, jos nariai, pirkimų organizatoriai, ekspertai negali tretiesiems asmenims atskleisti perkančiajai organizacijai pateiktos tiekėjo informacijos, kurios konfidencialumą nurodė tiekėjas. </w:t>
      </w:r>
      <w:r w:rsidR="00345522" w:rsidRPr="00D54629">
        <w:rPr>
          <w:lang w:eastAsia="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345522" w:rsidRPr="00D54629" w:rsidRDefault="009573EA" w:rsidP="00D54629">
      <w:pPr>
        <w:ind w:firstLine="709"/>
        <w:jc w:val="both"/>
      </w:pPr>
      <w:r>
        <w:t>4</w:t>
      </w:r>
      <w:r w:rsidR="008960FD">
        <w:t>9</w:t>
      </w:r>
      <w:r w:rsidR="00345522" w:rsidRPr="00D54629">
        <w:t>.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E85222" w:rsidRDefault="008960FD" w:rsidP="00E85222">
      <w:pPr>
        <w:ind w:firstLine="709"/>
        <w:jc w:val="both"/>
      </w:pPr>
      <w:r>
        <w:t>50</w:t>
      </w:r>
      <w:r w:rsidR="00345522" w:rsidRPr="00D54629">
        <w:t>. Įvykdytos pirkimo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693CB5" w:rsidRDefault="008960FD" w:rsidP="00997299">
      <w:pPr>
        <w:ind w:firstLine="709"/>
        <w:jc w:val="both"/>
      </w:pPr>
      <w:r>
        <w:t>51</w:t>
      </w:r>
      <w:r w:rsidR="00345522" w:rsidRPr="00D54629">
        <w:t>. Perkančiosios organizacijos vadovai, komisijų pirmininkai, komisijų pirmininkų pavaduotojai, komisijų nariai, pirkimų organizatoriai ir ekspertai, pažeidę šias taisykles, atsako įstatymų nustatyta tvarka.</w:t>
      </w:r>
    </w:p>
    <w:p w:rsidR="00A37206" w:rsidRDefault="00A37206">
      <w:pPr>
        <w:sectPr w:rsidR="00A37206">
          <w:headerReference w:type="even" r:id="rId7"/>
          <w:headerReference w:type="default" r:id="rId8"/>
          <w:pgSz w:w="11906" w:h="16838"/>
          <w:pgMar w:top="1134" w:right="567" w:bottom="1134" w:left="1701" w:header="709" w:footer="709" w:gutter="0"/>
          <w:cols w:space="708"/>
          <w:titlePg/>
          <w:docGrid w:linePitch="360"/>
        </w:sectPr>
      </w:pPr>
    </w:p>
    <w:tbl>
      <w:tblPr>
        <w:tblW w:w="15705" w:type="dxa"/>
        <w:tblInd w:w="93" w:type="dxa"/>
        <w:tblLook w:val="0000"/>
      </w:tblPr>
      <w:tblGrid>
        <w:gridCol w:w="511"/>
        <w:gridCol w:w="3757"/>
        <w:gridCol w:w="2340"/>
        <w:gridCol w:w="1771"/>
        <w:gridCol w:w="2335"/>
        <w:gridCol w:w="2090"/>
        <w:gridCol w:w="1941"/>
        <w:gridCol w:w="960"/>
      </w:tblGrid>
      <w:tr w:rsidR="00475E25">
        <w:trPr>
          <w:trHeight w:val="173"/>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7326" w:type="dxa"/>
            <w:gridSpan w:val="4"/>
            <w:vMerge w:val="restart"/>
            <w:tcBorders>
              <w:top w:val="nil"/>
              <w:left w:val="nil"/>
              <w:right w:val="nil"/>
            </w:tcBorders>
            <w:shd w:val="clear" w:color="auto" w:fill="auto"/>
            <w:noWrap/>
            <w:vAlign w:val="bottom"/>
          </w:tcPr>
          <w:p w:rsidR="00475E25" w:rsidRDefault="00475E25" w:rsidP="009F5F58">
            <w:pPr>
              <w:ind w:firstLine="3373"/>
              <w:rPr>
                <w:sz w:val="18"/>
                <w:szCs w:val="18"/>
              </w:rPr>
            </w:pPr>
            <w:r>
              <w:rPr>
                <w:sz w:val="18"/>
                <w:szCs w:val="18"/>
              </w:rPr>
              <w:t>Marijampolės moksleivių kūrybos centro</w:t>
            </w:r>
          </w:p>
          <w:p w:rsidR="00475E25" w:rsidRDefault="00475E25" w:rsidP="009F5F58">
            <w:pPr>
              <w:ind w:firstLine="3373"/>
              <w:rPr>
                <w:sz w:val="18"/>
                <w:szCs w:val="18"/>
              </w:rPr>
            </w:pPr>
            <w:r>
              <w:rPr>
                <w:sz w:val="18"/>
                <w:szCs w:val="18"/>
              </w:rPr>
              <w:t>supaprastintų viešųjų pirkimų taisyklių</w:t>
            </w:r>
          </w:p>
          <w:p w:rsidR="00475E25" w:rsidRDefault="00475E25" w:rsidP="009F5F58">
            <w:pPr>
              <w:ind w:firstLine="3373"/>
              <w:rPr>
                <w:rFonts w:ascii="Arial" w:hAnsi="Arial" w:cs="Arial"/>
                <w:sz w:val="20"/>
                <w:szCs w:val="20"/>
              </w:rPr>
            </w:pPr>
            <w:r>
              <w:rPr>
                <w:sz w:val="18"/>
                <w:szCs w:val="18"/>
              </w:rPr>
              <w:t>1 priedas</w:t>
            </w:r>
          </w:p>
        </w:tc>
      </w:tr>
      <w:tr w:rsidR="00475E25">
        <w:trPr>
          <w:trHeight w:val="129"/>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7326" w:type="dxa"/>
            <w:gridSpan w:val="4"/>
            <w:vMerge/>
            <w:tcBorders>
              <w:left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10"/>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7326" w:type="dxa"/>
            <w:gridSpan w:val="4"/>
            <w:vMerge/>
            <w:tcBorders>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p w:rsidR="00475E25" w:rsidRDefault="00475E25" w:rsidP="009F5F58">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9F5F58">
            <w:pPr>
              <w:rPr>
                <w:sz w:val="20"/>
                <w:szCs w:val="20"/>
              </w:rPr>
            </w:pPr>
            <w:r>
              <w:rPr>
                <w:sz w:val="20"/>
                <w:szCs w:val="20"/>
              </w:rPr>
              <w:t>TVIRTINU</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9F5F58">
            <w:pPr>
              <w:rPr>
                <w:sz w:val="20"/>
                <w:szCs w:val="20"/>
              </w:rPr>
            </w:pPr>
            <w:r>
              <w:rPr>
                <w:sz w:val="20"/>
                <w:szCs w:val="20"/>
              </w:rPr>
              <w:t>Direktorius</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9F5F58">
            <w:pPr>
              <w:rPr>
                <w:sz w:val="20"/>
                <w:szCs w:val="20"/>
              </w:rPr>
            </w:pPr>
            <w:r>
              <w:rPr>
                <w:sz w:val="20"/>
                <w:szCs w:val="20"/>
              </w:rPr>
              <w:t>(parašas)                A.V.</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9F5F58">
            <w:pPr>
              <w:rPr>
                <w:sz w:val="20"/>
                <w:szCs w:val="20"/>
              </w:rPr>
            </w:pPr>
            <w:r>
              <w:rPr>
                <w:sz w:val="20"/>
                <w:szCs w:val="20"/>
              </w:rPr>
              <w:t>(vardas, pavardė)</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300"/>
        </w:trPr>
        <w:tc>
          <w:tcPr>
            <w:tcW w:w="14745" w:type="dxa"/>
            <w:gridSpan w:val="7"/>
            <w:tcBorders>
              <w:top w:val="nil"/>
              <w:left w:val="nil"/>
              <w:bottom w:val="nil"/>
              <w:right w:val="nil"/>
            </w:tcBorders>
            <w:shd w:val="clear" w:color="auto" w:fill="auto"/>
            <w:noWrap/>
            <w:vAlign w:val="bottom"/>
          </w:tcPr>
          <w:p w:rsidR="00475E25" w:rsidRDefault="00475E25" w:rsidP="009F5F58">
            <w:pPr>
              <w:jc w:val="center"/>
              <w:rPr>
                <w:b/>
                <w:bCs/>
              </w:rPr>
            </w:pPr>
            <w:r>
              <w:rPr>
                <w:b/>
                <w:bCs/>
                <w:sz w:val="22"/>
                <w:szCs w:val="22"/>
              </w:rPr>
              <w:t>Informacijos apie .............. metais numatomus vykdyti pirkimus suvestinė</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375"/>
        </w:trPr>
        <w:tc>
          <w:tcPr>
            <w:tcW w:w="51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209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54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Eil. Nr.</w:t>
            </w:r>
          </w:p>
        </w:tc>
        <w:tc>
          <w:tcPr>
            <w:tcW w:w="3757"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Pirkimo objektas</w:t>
            </w:r>
          </w:p>
        </w:tc>
        <w:tc>
          <w:tcPr>
            <w:tcW w:w="234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BVPŽ kodas</w:t>
            </w:r>
          </w:p>
        </w:tc>
        <w:tc>
          <w:tcPr>
            <w:tcW w:w="1771"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Orientacinė vertė, Lt</w:t>
            </w:r>
          </w:p>
        </w:tc>
        <w:tc>
          <w:tcPr>
            <w:tcW w:w="2335"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Numatomas pirkimo būdas</w:t>
            </w:r>
          </w:p>
        </w:tc>
        <w:tc>
          <w:tcPr>
            <w:tcW w:w="209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Pirkimo vykdytojas</w:t>
            </w:r>
          </w:p>
        </w:tc>
        <w:tc>
          <w:tcPr>
            <w:tcW w:w="1941"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Pastabos</w:t>
            </w:r>
          </w:p>
        </w:tc>
        <w:tc>
          <w:tcPr>
            <w:tcW w:w="960" w:type="dxa"/>
            <w:tcBorders>
              <w:top w:val="nil"/>
              <w:left w:val="nil"/>
              <w:bottom w:val="nil"/>
              <w:right w:val="nil"/>
            </w:tcBorders>
            <w:shd w:val="clear" w:color="auto" w:fill="auto"/>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375"/>
        </w:trPr>
        <w:tc>
          <w:tcPr>
            <w:tcW w:w="511"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1771"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2090"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1941"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300"/>
        </w:trPr>
        <w:tc>
          <w:tcPr>
            <w:tcW w:w="8379" w:type="dxa"/>
            <w:gridSpan w:val="4"/>
            <w:tcBorders>
              <w:top w:val="nil"/>
              <w:left w:val="nil"/>
              <w:bottom w:val="nil"/>
              <w:right w:val="nil"/>
            </w:tcBorders>
            <w:shd w:val="clear" w:color="auto" w:fill="auto"/>
            <w:noWrap/>
            <w:vAlign w:val="bottom"/>
          </w:tcPr>
          <w:p w:rsidR="00475E25" w:rsidRDefault="00475E25" w:rsidP="009F5F58">
            <w:r>
              <w:rPr>
                <w:sz w:val="22"/>
                <w:szCs w:val="22"/>
              </w:rPr>
              <w:t>Atsakingas už pirkimų planavimą darbuotojas:  ...........................................</w:t>
            </w:r>
          </w:p>
        </w:tc>
        <w:tc>
          <w:tcPr>
            <w:tcW w:w="2335" w:type="dxa"/>
            <w:tcBorders>
              <w:top w:val="nil"/>
              <w:left w:val="nil"/>
              <w:bottom w:val="nil"/>
              <w:right w:val="nil"/>
            </w:tcBorders>
            <w:shd w:val="clear" w:color="auto" w:fill="auto"/>
            <w:noWrap/>
            <w:vAlign w:val="bottom"/>
          </w:tcPr>
          <w:p w:rsidR="00475E25" w:rsidRDefault="00475E25" w:rsidP="009F5F58">
            <w:pPr>
              <w:rPr>
                <w:sz w:val="20"/>
                <w:szCs w:val="20"/>
              </w:rPr>
            </w:pPr>
            <w:r>
              <w:rPr>
                <w:sz w:val="20"/>
                <w:szCs w:val="20"/>
              </w:rPr>
              <w:t>....................................</w:t>
            </w:r>
          </w:p>
        </w:tc>
        <w:tc>
          <w:tcPr>
            <w:tcW w:w="4031" w:type="dxa"/>
            <w:gridSpan w:val="2"/>
            <w:tcBorders>
              <w:top w:val="nil"/>
              <w:left w:val="nil"/>
              <w:bottom w:val="nil"/>
              <w:right w:val="nil"/>
            </w:tcBorders>
            <w:shd w:val="clear" w:color="auto" w:fill="auto"/>
            <w:noWrap/>
            <w:vAlign w:val="bottom"/>
          </w:tcPr>
          <w:p w:rsidR="00475E25" w:rsidRDefault="00475E25" w:rsidP="009F5F58">
            <w:pPr>
              <w:rPr>
                <w:sz w:val="20"/>
                <w:szCs w:val="20"/>
              </w:rPr>
            </w:pPr>
            <w:r>
              <w:rPr>
                <w:sz w:val="20"/>
                <w:szCs w:val="20"/>
              </w:rPr>
              <w:t xml:space="preserve">                .....................................................</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r w:rsidR="00475E25">
        <w:trPr>
          <w:trHeight w:val="255"/>
        </w:trPr>
        <w:tc>
          <w:tcPr>
            <w:tcW w:w="511"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3757"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2340" w:type="dxa"/>
            <w:tcBorders>
              <w:top w:val="nil"/>
              <w:left w:val="nil"/>
              <w:bottom w:val="nil"/>
              <w:right w:val="nil"/>
            </w:tcBorders>
            <w:shd w:val="clear" w:color="auto" w:fill="auto"/>
            <w:noWrap/>
            <w:vAlign w:val="bottom"/>
          </w:tcPr>
          <w:p w:rsidR="00475E25" w:rsidRDefault="00475E25" w:rsidP="009F5F58">
            <w:pPr>
              <w:rPr>
                <w:sz w:val="18"/>
                <w:szCs w:val="18"/>
              </w:rPr>
            </w:pPr>
            <w:r>
              <w:rPr>
                <w:sz w:val="18"/>
                <w:szCs w:val="18"/>
              </w:rPr>
              <w:t xml:space="preserve">               (pareigos)</w:t>
            </w:r>
          </w:p>
        </w:tc>
        <w:tc>
          <w:tcPr>
            <w:tcW w:w="1771" w:type="dxa"/>
            <w:tcBorders>
              <w:top w:val="nil"/>
              <w:left w:val="nil"/>
              <w:bottom w:val="nil"/>
              <w:right w:val="nil"/>
            </w:tcBorders>
            <w:shd w:val="clear" w:color="auto" w:fill="auto"/>
            <w:noWrap/>
            <w:vAlign w:val="bottom"/>
          </w:tcPr>
          <w:p w:rsidR="00475E25" w:rsidRDefault="00475E25" w:rsidP="009F5F58">
            <w:pPr>
              <w:rPr>
                <w:sz w:val="20"/>
                <w:szCs w:val="20"/>
              </w:rPr>
            </w:pPr>
          </w:p>
        </w:tc>
        <w:tc>
          <w:tcPr>
            <w:tcW w:w="2335" w:type="dxa"/>
            <w:tcBorders>
              <w:top w:val="nil"/>
              <w:left w:val="nil"/>
              <w:bottom w:val="nil"/>
              <w:right w:val="nil"/>
            </w:tcBorders>
            <w:shd w:val="clear" w:color="auto" w:fill="auto"/>
            <w:noWrap/>
            <w:vAlign w:val="bottom"/>
          </w:tcPr>
          <w:p w:rsidR="00475E25" w:rsidRDefault="00475E25" w:rsidP="009F5F58">
            <w:pPr>
              <w:rPr>
                <w:sz w:val="18"/>
                <w:szCs w:val="18"/>
              </w:rPr>
            </w:pPr>
            <w:r>
              <w:rPr>
                <w:sz w:val="18"/>
                <w:szCs w:val="18"/>
              </w:rPr>
              <w:t xml:space="preserve">           (parašas)</w:t>
            </w:r>
          </w:p>
        </w:tc>
        <w:tc>
          <w:tcPr>
            <w:tcW w:w="4031" w:type="dxa"/>
            <w:gridSpan w:val="2"/>
            <w:tcBorders>
              <w:top w:val="nil"/>
              <w:left w:val="nil"/>
              <w:bottom w:val="nil"/>
              <w:right w:val="nil"/>
            </w:tcBorders>
            <w:shd w:val="clear" w:color="auto" w:fill="auto"/>
            <w:noWrap/>
            <w:vAlign w:val="bottom"/>
          </w:tcPr>
          <w:p w:rsidR="00475E25" w:rsidRDefault="00475E25" w:rsidP="009F5F58">
            <w:pPr>
              <w:rPr>
                <w:sz w:val="20"/>
                <w:szCs w:val="20"/>
              </w:rPr>
            </w:pPr>
            <w:r>
              <w:rPr>
                <w:sz w:val="18"/>
                <w:szCs w:val="18"/>
              </w:rPr>
              <w:t xml:space="preserve">                            (vardas, pavardė)</w:t>
            </w:r>
          </w:p>
        </w:tc>
        <w:tc>
          <w:tcPr>
            <w:tcW w:w="960" w:type="dxa"/>
            <w:tcBorders>
              <w:top w:val="nil"/>
              <w:left w:val="nil"/>
              <w:bottom w:val="nil"/>
              <w:right w:val="nil"/>
            </w:tcBorders>
            <w:shd w:val="clear" w:color="auto" w:fill="auto"/>
            <w:noWrap/>
            <w:vAlign w:val="bottom"/>
          </w:tcPr>
          <w:p w:rsidR="00475E25" w:rsidRDefault="00475E25" w:rsidP="009F5F58">
            <w:pPr>
              <w:rPr>
                <w:rFonts w:ascii="Arial" w:hAnsi="Arial" w:cs="Arial"/>
                <w:sz w:val="20"/>
                <w:szCs w:val="20"/>
              </w:rPr>
            </w:pPr>
          </w:p>
        </w:tc>
      </w:tr>
    </w:tbl>
    <w:p w:rsidR="00475E25" w:rsidRDefault="00475E25" w:rsidP="00475E25">
      <w:pPr>
        <w:rPr>
          <w:lang w:eastAsia="en-US"/>
        </w:rPr>
        <w:sectPr w:rsidR="00475E25">
          <w:headerReference w:type="even" r:id="rId9"/>
          <w:headerReference w:type="default" r:id="rId10"/>
          <w:footerReference w:type="even" r:id="rId11"/>
          <w:footerReference w:type="default" r:id="rId12"/>
          <w:pgSz w:w="16838" w:h="11906" w:orient="landscape" w:code="9"/>
          <w:pgMar w:top="567" w:right="567" w:bottom="567" w:left="1077" w:header="567" w:footer="567" w:gutter="0"/>
          <w:cols w:space="1296"/>
          <w:docGrid w:linePitch="360"/>
        </w:sectPr>
      </w:pPr>
    </w:p>
    <w:tbl>
      <w:tblPr>
        <w:tblpPr w:leftFromText="180" w:rightFromText="180" w:vertAnchor="page" w:horzAnchor="margin" w:tblpY="1932"/>
        <w:tblW w:w="9975" w:type="dxa"/>
        <w:tblLook w:val="0000"/>
      </w:tblPr>
      <w:tblGrid>
        <w:gridCol w:w="1988"/>
        <w:gridCol w:w="2467"/>
        <w:gridCol w:w="5520"/>
      </w:tblGrid>
      <w:tr w:rsidR="00475E25">
        <w:trPr>
          <w:trHeight w:val="315"/>
        </w:trPr>
        <w:tc>
          <w:tcPr>
            <w:tcW w:w="9975" w:type="dxa"/>
            <w:gridSpan w:val="3"/>
            <w:tcBorders>
              <w:top w:val="nil"/>
              <w:left w:val="nil"/>
              <w:bottom w:val="nil"/>
              <w:right w:val="nil"/>
            </w:tcBorders>
            <w:shd w:val="clear" w:color="auto" w:fill="auto"/>
            <w:noWrap/>
            <w:vAlign w:val="bottom"/>
          </w:tcPr>
          <w:p w:rsidR="00475E25" w:rsidRDefault="00475E25" w:rsidP="009F5F58">
            <w:pPr>
              <w:jc w:val="center"/>
            </w:pPr>
            <w:r>
              <w:t>PIRKIMO PARAIŠKA Nr. .....</w:t>
            </w:r>
          </w:p>
        </w:tc>
      </w:tr>
      <w:tr w:rsidR="00475E25">
        <w:trPr>
          <w:trHeight w:val="315"/>
        </w:trPr>
        <w:tc>
          <w:tcPr>
            <w:tcW w:w="9975" w:type="dxa"/>
            <w:gridSpan w:val="3"/>
            <w:tcBorders>
              <w:top w:val="nil"/>
              <w:left w:val="nil"/>
              <w:bottom w:val="nil"/>
              <w:right w:val="nil"/>
            </w:tcBorders>
            <w:shd w:val="clear" w:color="auto" w:fill="auto"/>
            <w:noWrap/>
            <w:vAlign w:val="bottom"/>
          </w:tcPr>
          <w:p w:rsidR="00475E25" w:rsidRDefault="00475E25" w:rsidP="009F5F58">
            <w:pPr>
              <w:jc w:val="center"/>
            </w:pPr>
            <w:r>
              <w:t>...............................................</w:t>
            </w:r>
          </w:p>
        </w:tc>
      </w:tr>
      <w:tr w:rsidR="00475E25">
        <w:trPr>
          <w:trHeight w:val="269"/>
        </w:trPr>
        <w:tc>
          <w:tcPr>
            <w:tcW w:w="9975" w:type="dxa"/>
            <w:gridSpan w:val="3"/>
            <w:tcBorders>
              <w:top w:val="nil"/>
              <w:left w:val="nil"/>
              <w:bottom w:val="nil"/>
              <w:right w:val="nil"/>
            </w:tcBorders>
            <w:shd w:val="clear" w:color="auto" w:fill="auto"/>
            <w:noWrap/>
            <w:vAlign w:val="bottom"/>
          </w:tcPr>
          <w:p w:rsidR="00475E25" w:rsidRDefault="00475E25" w:rsidP="009F5F58">
            <w:pPr>
              <w:jc w:val="center"/>
            </w:pPr>
            <w:r w:rsidRPr="00692E2C">
              <w:rPr>
                <w:sz w:val="20"/>
                <w:szCs w:val="20"/>
              </w:rPr>
              <w:t>(data)</w:t>
            </w:r>
          </w:p>
        </w:tc>
      </w:tr>
      <w:tr w:rsidR="00475E25">
        <w:trPr>
          <w:trHeight w:val="375"/>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5E25" w:rsidRDefault="00475E25" w:rsidP="009F5F58">
            <w:r>
              <w:rPr>
                <w:sz w:val="22"/>
                <w:szCs w:val="22"/>
              </w:rPr>
              <w:t>Pirkimo objektas</w:t>
            </w:r>
          </w:p>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Pavadinimas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375"/>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Kodas pagal BVPŽ</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75"/>
        </w:trPr>
        <w:tc>
          <w:tcPr>
            <w:tcW w:w="1988" w:type="dxa"/>
            <w:vMerge w:val="restart"/>
            <w:tcBorders>
              <w:top w:val="nil"/>
              <w:left w:val="single" w:sz="4" w:space="0" w:color="auto"/>
              <w:bottom w:val="single" w:sz="4" w:space="0" w:color="000000"/>
              <w:right w:val="single" w:sz="4" w:space="0" w:color="auto"/>
            </w:tcBorders>
            <w:shd w:val="clear" w:color="auto" w:fill="auto"/>
            <w:vAlign w:val="center"/>
          </w:tcPr>
          <w:p w:rsidR="00475E25" w:rsidRDefault="00475E25" w:rsidP="009F5F58">
            <w:r>
              <w:rPr>
                <w:sz w:val="22"/>
                <w:szCs w:val="22"/>
              </w:rPr>
              <w:t>Pirkimo objekto aprašymas</w:t>
            </w:r>
          </w:p>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Savybės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9F5F58">
            <w:r>
              <w:rPr>
                <w:sz w:val="22"/>
                <w:szCs w:val="22"/>
              </w:rPr>
              <w:t>Kokybės ypatumai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Reikalingas kiekis ar apimtis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 xml:space="preserve">Galimi aplinkosaugos kriterijai </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9F5F58">
            <w:r>
              <w:rPr>
                <w:sz w:val="22"/>
                <w:szCs w:val="22"/>
              </w:rPr>
              <w:t>Kiti reikalavimai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00"/>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5E25" w:rsidRDefault="00475E25" w:rsidP="009F5F58">
            <w:r>
              <w:rPr>
                <w:sz w:val="22"/>
                <w:szCs w:val="22"/>
              </w:rPr>
              <w:t>Pirkimo finansinės išlaidos</w:t>
            </w:r>
          </w:p>
        </w:tc>
        <w:tc>
          <w:tcPr>
            <w:tcW w:w="2467" w:type="dxa"/>
            <w:tcBorders>
              <w:top w:val="single" w:sz="4" w:space="0" w:color="auto"/>
              <w:left w:val="nil"/>
              <w:bottom w:val="single" w:sz="4" w:space="0" w:color="auto"/>
              <w:right w:val="single" w:sz="4" w:space="0" w:color="000000"/>
            </w:tcBorders>
            <w:shd w:val="clear" w:color="auto" w:fill="auto"/>
            <w:vAlign w:val="bottom"/>
          </w:tcPr>
          <w:p w:rsidR="00475E25" w:rsidRDefault="00475E25" w:rsidP="009F5F58">
            <w:r>
              <w:rPr>
                <w:sz w:val="22"/>
                <w:szCs w:val="22"/>
              </w:rPr>
              <w:t>Maksimali  pirkimo vertė</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93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vAlign w:val="bottom"/>
          </w:tcPr>
          <w:p w:rsidR="00475E25" w:rsidRDefault="00475E25" w:rsidP="009F5F58">
            <w:r>
              <w:rPr>
                <w:sz w:val="22"/>
                <w:szCs w:val="22"/>
              </w:rPr>
              <w:t>Pirkimo objekto eksploatavimo išlaidos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375"/>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75E25" w:rsidRDefault="00475E25" w:rsidP="009F5F58">
            <w:r>
              <w:rPr>
                <w:sz w:val="22"/>
                <w:szCs w:val="22"/>
              </w:rPr>
              <w:t>Numatomas pirkimo būdas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900"/>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75E25" w:rsidRDefault="00475E25" w:rsidP="009F5F58">
            <w:r>
              <w:rPr>
                <w:sz w:val="22"/>
                <w:szCs w:val="22"/>
              </w:rPr>
              <w:t>Tiekėjai</w:t>
            </w:r>
          </w:p>
        </w:tc>
        <w:tc>
          <w:tcPr>
            <w:tcW w:w="2467" w:type="dxa"/>
            <w:tcBorders>
              <w:top w:val="single" w:sz="4" w:space="0" w:color="auto"/>
              <w:left w:val="nil"/>
              <w:bottom w:val="single" w:sz="4" w:space="0" w:color="auto"/>
              <w:right w:val="single" w:sz="4" w:space="0" w:color="000000"/>
            </w:tcBorders>
            <w:shd w:val="clear" w:color="auto" w:fill="auto"/>
            <w:vAlign w:val="bottom"/>
          </w:tcPr>
          <w:p w:rsidR="00475E25" w:rsidRDefault="00475E25" w:rsidP="009F5F58">
            <w:r>
              <w:rPr>
                <w:sz w:val="22"/>
                <w:szCs w:val="22"/>
              </w:rPr>
              <w:t>Minimalūs kvalifikacijos reikalavimai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120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Argumentuotas tiekėjų sąrašas (jei numatomas pirkimas apklausos būdu)</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900"/>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5E25" w:rsidRDefault="00475E25" w:rsidP="009F5F58">
            <w:r>
              <w:rPr>
                <w:sz w:val="22"/>
                <w:szCs w:val="22"/>
              </w:rPr>
              <w:t>Sutarties sąlygos</w:t>
            </w:r>
          </w:p>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9F5F58">
            <w:r>
              <w:rPr>
                <w:sz w:val="22"/>
                <w:szCs w:val="22"/>
              </w:rPr>
              <w:t>Prekių pristatymo, paslaugų ar darbų atlikimo terminai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0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9F5F58">
            <w:r>
              <w:rPr>
                <w:sz w:val="22"/>
                <w:szCs w:val="22"/>
              </w:rPr>
              <w:t>Sutarties trukmė</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r w:rsidR="00475E25">
        <w:trPr>
          <w:trHeight w:val="60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9F5F58"/>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9F5F58">
            <w:r>
              <w:rPr>
                <w:sz w:val="22"/>
                <w:szCs w:val="22"/>
              </w:rPr>
              <w:t>Kitos sąlygos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9F5F58">
            <w:r>
              <w:rPr>
                <w:sz w:val="22"/>
                <w:szCs w:val="22"/>
              </w:rPr>
              <w:t> </w:t>
            </w:r>
          </w:p>
        </w:tc>
      </w:tr>
    </w:tbl>
    <w:p w:rsidR="00475E25" w:rsidRDefault="00475E25" w:rsidP="00475E25">
      <w:pPr>
        <w:ind w:left="6480"/>
        <w:rPr>
          <w:sz w:val="18"/>
          <w:szCs w:val="18"/>
          <w:lang w:eastAsia="en-US"/>
        </w:rPr>
      </w:pPr>
      <w:r>
        <w:rPr>
          <w:sz w:val="18"/>
          <w:szCs w:val="18"/>
          <w:lang w:eastAsia="en-US"/>
        </w:rPr>
        <w:t>Marijampolės moksleivių kūrybos centro                                           Supaprastintų viešųjų pirkimų taisyklių</w:t>
      </w:r>
    </w:p>
    <w:p w:rsidR="00475E25" w:rsidRDefault="00475E25" w:rsidP="00475E25">
      <w:pPr>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t>2 priedas</w:t>
      </w:r>
    </w:p>
    <w:p w:rsidR="00475E25" w:rsidRPr="00D249F7" w:rsidRDefault="00475E25" w:rsidP="00475E25">
      <w:pPr>
        <w:rPr>
          <w:sz w:val="18"/>
          <w:szCs w:val="18"/>
          <w:lang w:eastAsia="en-US"/>
        </w:rPr>
      </w:pPr>
      <w:r>
        <w:rPr>
          <w:sz w:val="18"/>
          <w:szCs w:val="18"/>
          <w:lang w:eastAsia="en-US"/>
        </w:rPr>
        <w:tab/>
      </w:r>
      <w:r>
        <w:rPr>
          <w:sz w:val="18"/>
          <w:szCs w:val="18"/>
          <w:lang w:eastAsia="en-US"/>
        </w:rPr>
        <w:tab/>
      </w:r>
    </w:p>
    <w:tbl>
      <w:tblPr>
        <w:tblW w:w="0" w:type="auto"/>
        <w:tblLook w:val="01E0"/>
      </w:tblPr>
      <w:tblGrid>
        <w:gridCol w:w="2868"/>
        <w:gridCol w:w="2370"/>
        <w:gridCol w:w="2310"/>
        <w:gridCol w:w="2520"/>
      </w:tblGrid>
      <w:tr w:rsidR="00475E25">
        <w:tc>
          <w:tcPr>
            <w:tcW w:w="2868" w:type="dxa"/>
          </w:tcPr>
          <w:p w:rsidR="00475E25" w:rsidRPr="00875BE7" w:rsidRDefault="00475E25" w:rsidP="009F5F58">
            <w:pPr>
              <w:rPr>
                <w:lang w:eastAsia="en-US"/>
              </w:rPr>
            </w:pPr>
            <w:r w:rsidRPr="00875BE7">
              <w:rPr>
                <w:sz w:val="22"/>
                <w:szCs w:val="22"/>
                <w:lang w:eastAsia="en-US"/>
              </w:rPr>
              <w:t>Pirkimo organizatorius</w:t>
            </w:r>
          </w:p>
        </w:tc>
        <w:tc>
          <w:tcPr>
            <w:tcW w:w="2370" w:type="dxa"/>
          </w:tcPr>
          <w:p w:rsidR="00475E25" w:rsidRDefault="00475E25" w:rsidP="009F5F58">
            <w:pPr>
              <w:jc w:val="center"/>
              <w:rPr>
                <w:lang w:eastAsia="en-US"/>
              </w:rPr>
            </w:pPr>
            <w:r>
              <w:rPr>
                <w:lang w:eastAsia="en-US"/>
              </w:rPr>
              <w:t>...........................</w:t>
            </w:r>
          </w:p>
          <w:p w:rsidR="00475E25" w:rsidRPr="00875BE7" w:rsidRDefault="00475E25" w:rsidP="009F5F58">
            <w:pPr>
              <w:jc w:val="center"/>
              <w:rPr>
                <w:sz w:val="20"/>
                <w:szCs w:val="20"/>
                <w:lang w:eastAsia="en-US"/>
              </w:rPr>
            </w:pPr>
            <w:r w:rsidRPr="00875BE7">
              <w:rPr>
                <w:sz w:val="20"/>
                <w:szCs w:val="20"/>
                <w:lang w:eastAsia="en-US"/>
              </w:rPr>
              <w:t>(pareigos)</w:t>
            </w:r>
          </w:p>
        </w:tc>
        <w:tc>
          <w:tcPr>
            <w:tcW w:w="2310" w:type="dxa"/>
          </w:tcPr>
          <w:p w:rsidR="00475E25" w:rsidRDefault="00475E25" w:rsidP="009F5F58">
            <w:pPr>
              <w:jc w:val="center"/>
              <w:rPr>
                <w:lang w:eastAsia="en-US"/>
              </w:rPr>
            </w:pPr>
            <w:r>
              <w:rPr>
                <w:lang w:eastAsia="en-US"/>
              </w:rPr>
              <w:t>.............................</w:t>
            </w:r>
          </w:p>
          <w:p w:rsidR="00475E25" w:rsidRPr="00875BE7" w:rsidRDefault="00475E25" w:rsidP="009F5F58">
            <w:pPr>
              <w:jc w:val="center"/>
              <w:rPr>
                <w:sz w:val="20"/>
                <w:szCs w:val="20"/>
                <w:lang w:eastAsia="en-US"/>
              </w:rPr>
            </w:pPr>
            <w:r w:rsidRPr="00875BE7">
              <w:rPr>
                <w:sz w:val="20"/>
                <w:szCs w:val="20"/>
                <w:lang w:eastAsia="en-US"/>
              </w:rPr>
              <w:t>(parašas)</w:t>
            </w:r>
          </w:p>
        </w:tc>
        <w:tc>
          <w:tcPr>
            <w:tcW w:w="2520" w:type="dxa"/>
          </w:tcPr>
          <w:p w:rsidR="00475E25" w:rsidRDefault="00475E25" w:rsidP="009F5F58">
            <w:pPr>
              <w:jc w:val="center"/>
              <w:rPr>
                <w:lang w:eastAsia="en-US"/>
              </w:rPr>
            </w:pPr>
            <w:r>
              <w:rPr>
                <w:lang w:eastAsia="en-US"/>
              </w:rPr>
              <w:t>...............................</w:t>
            </w:r>
          </w:p>
          <w:p w:rsidR="00475E25" w:rsidRPr="00875BE7" w:rsidRDefault="00475E25" w:rsidP="009F5F58">
            <w:pPr>
              <w:jc w:val="center"/>
              <w:rPr>
                <w:sz w:val="20"/>
                <w:szCs w:val="20"/>
                <w:lang w:eastAsia="en-US"/>
              </w:rPr>
            </w:pPr>
            <w:r w:rsidRPr="00875BE7">
              <w:rPr>
                <w:sz w:val="20"/>
                <w:szCs w:val="20"/>
                <w:lang w:eastAsia="en-US"/>
              </w:rPr>
              <w:t>(vardas, pavardė)</w:t>
            </w:r>
          </w:p>
        </w:tc>
      </w:tr>
      <w:tr w:rsidR="00475E25">
        <w:tc>
          <w:tcPr>
            <w:tcW w:w="2868" w:type="dxa"/>
          </w:tcPr>
          <w:p w:rsidR="00475E25" w:rsidRPr="00875BE7" w:rsidRDefault="00475E25" w:rsidP="009F5F58">
            <w:pPr>
              <w:rPr>
                <w:lang w:eastAsia="en-US"/>
              </w:rPr>
            </w:pPr>
            <w:r w:rsidRPr="00875BE7">
              <w:rPr>
                <w:sz w:val="22"/>
                <w:szCs w:val="22"/>
                <w:lang w:eastAsia="en-US"/>
              </w:rPr>
              <w:t>Išankstinę finansinę kontrolę vykdantis asmuo</w:t>
            </w:r>
          </w:p>
        </w:tc>
        <w:tc>
          <w:tcPr>
            <w:tcW w:w="2370" w:type="dxa"/>
          </w:tcPr>
          <w:p w:rsidR="00475E25" w:rsidRDefault="00475E25" w:rsidP="009F5F58">
            <w:pPr>
              <w:jc w:val="center"/>
              <w:rPr>
                <w:lang w:eastAsia="en-US"/>
              </w:rPr>
            </w:pPr>
            <w:r>
              <w:rPr>
                <w:lang w:eastAsia="en-US"/>
              </w:rPr>
              <w:t>...........................</w:t>
            </w:r>
          </w:p>
          <w:p w:rsidR="00475E25" w:rsidRDefault="00475E25" w:rsidP="009F5F58">
            <w:pPr>
              <w:jc w:val="center"/>
              <w:rPr>
                <w:lang w:eastAsia="en-US"/>
              </w:rPr>
            </w:pPr>
            <w:r w:rsidRPr="00875BE7">
              <w:rPr>
                <w:sz w:val="20"/>
                <w:szCs w:val="20"/>
                <w:lang w:eastAsia="en-US"/>
              </w:rPr>
              <w:t>(pareigos)</w:t>
            </w:r>
          </w:p>
        </w:tc>
        <w:tc>
          <w:tcPr>
            <w:tcW w:w="2310" w:type="dxa"/>
          </w:tcPr>
          <w:p w:rsidR="00475E25" w:rsidRDefault="00475E25" w:rsidP="009F5F58">
            <w:pPr>
              <w:jc w:val="center"/>
              <w:rPr>
                <w:lang w:eastAsia="en-US"/>
              </w:rPr>
            </w:pPr>
            <w:r>
              <w:rPr>
                <w:lang w:eastAsia="en-US"/>
              </w:rPr>
              <w:t>.............................</w:t>
            </w:r>
          </w:p>
          <w:p w:rsidR="00475E25" w:rsidRDefault="00475E25" w:rsidP="009F5F58">
            <w:pPr>
              <w:jc w:val="center"/>
              <w:rPr>
                <w:lang w:eastAsia="en-US"/>
              </w:rPr>
            </w:pPr>
            <w:r w:rsidRPr="00875BE7">
              <w:rPr>
                <w:sz w:val="20"/>
                <w:szCs w:val="20"/>
                <w:lang w:eastAsia="en-US"/>
              </w:rPr>
              <w:t>(parašas)</w:t>
            </w:r>
          </w:p>
        </w:tc>
        <w:tc>
          <w:tcPr>
            <w:tcW w:w="2520" w:type="dxa"/>
          </w:tcPr>
          <w:p w:rsidR="00475E25" w:rsidRDefault="00475E25" w:rsidP="009F5F58">
            <w:pPr>
              <w:jc w:val="center"/>
              <w:rPr>
                <w:lang w:eastAsia="en-US"/>
              </w:rPr>
            </w:pPr>
            <w:r>
              <w:rPr>
                <w:lang w:eastAsia="en-US"/>
              </w:rPr>
              <w:t>...............................</w:t>
            </w:r>
          </w:p>
          <w:p w:rsidR="00475E25" w:rsidRDefault="00475E25" w:rsidP="009F5F58">
            <w:pPr>
              <w:jc w:val="center"/>
              <w:rPr>
                <w:lang w:eastAsia="en-US"/>
              </w:rPr>
            </w:pPr>
          </w:p>
          <w:p w:rsidR="00475E25" w:rsidRDefault="00475E25" w:rsidP="009F5F58">
            <w:pPr>
              <w:jc w:val="center"/>
              <w:rPr>
                <w:lang w:eastAsia="en-US"/>
              </w:rPr>
            </w:pPr>
            <w:r w:rsidRPr="00875BE7">
              <w:rPr>
                <w:sz w:val="20"/>
                <w:szCs w:val="20"/>
                <w:lang w:eastAsia="en-US"/>
              </w:rPr>
              <w:t>(vardas, pavardė)</w:t>
            </w:r>
          </w:p>
        </w:tc>
      </w:tr>
    </w:tbl>
    <w:p w:rsidR="00475E25" w:rsidRDefault="00475E25" w:rsidP="00475E25">
      <w:pPr>
        <w:rPr>
          <w:lang w:eastAsia="en-US"/>
        </w:rPr>
        <w:sectPr w:rsidR="00475E25">
          <w:pgSz w:w="11906" w:h="16838" w:code="9"/>
          <w:pgMar w:top="851" w:right="567" w:bottom="1134" w:left="1077" w:header="567" w:footer="567" w:gutter="0"/>
          <w:cols w:space="1296"/>
          <w:docGrid w:linePitch="360"/>
        </w:sectPr>
      </w:pPr>
    </w:p>
    <w:p w:rsidR="00475E25" w:rsidRPr="00CD3D5D" w:rsidRDefault="00475E25" w:rsidP="00475E25">
      <w:pPr>
        <w:ind w:firstLine="12333"/>
        <w:rPr>
          <w:sz w:val="18"/>
          <w:szCs w:val="18"/>
          <w:lang w:eastAsia="en-US"/>
        </w:rPr>
      </w:pPr>
      <w:r w:rsidRPr="00CD3D5D">
        <w:rPr>
          <w:sz w:val="18"/>
          <w:szCs w:val="18"/>
          <w:lang w:eastAsia="en-US"/>
        </w:rPr>
        <w:t>Marijampolės moksleivių</w:t>
      </w:r>
      <w:r>
        <w:rPr>
          <w:sz w:val="18"/>
          <w:szCs w:val="18"/>
          <w:lang w:eastAsia="en-US"/>
        </w:rPr>
        <w:t xml:space="preserve"> kūrybos centro</w:t>
      </w:r>
    </w:p>
    <w:p w:rsidR="00475E25" w:rsidRDefault="00475E25" w:rsidP="00475E25">
      <w:pPr>
        <w:ind w:firstLine="12333"/>
        <w:rPr>
          <w:sz w:val="18"/>
          <w:szCs w:val="18"/>
          <w:lang w:eastAsia="en-US"/>
        </w:rPr>
      </w:pPr>
      <w:r>
        <w:rPr>
          <w:sz w:val="18"/>
          <w:szCs w:val="18"/>
          <w:lang w:eastAsia="en-US"/>
        </w:rPr>
        <w:t>Supaprastintų viešųjų pirkimų taisyklių</w:t>
      </w:r>
    </w:p>
    <w:p w:rsidR="00475E25" w:rsidRDefault="00475E25" w:rsidP="00475E25">
      <w:pPr>
        <w:ind w:firstLine="12333"/>
        <w:rPr>
          <w:sz w:val="18"/>
          <w:szCs w:val="18"/>
          <w:lang w:eastAsia="en-US"/>
        </w:rPr>
      </w:pPr>
      <w:r>
        <w:rPr>
          <w:sz w:val="18"/>
          <w:szCs w:val="18"/>
          <w:lang w:eastAsia="en-US"/>
        </w:rPr>
        <w:t>3 priedas</w:t>
      </w:r>
    </w:p>
    <w:p w:rsidR="00475E25" w:rsidRDefault="00475E25" w:rsidP="00475E25">
      <w:pPr>
        <w:jc w:val="center"/>
        <w:rPr>
          <w:sz w:val="18"/>
          <w:szCs w:val="18"/>
          <w:lang w:eastAsia="en-US"/>
        </w:rPr>
      </w:pPr>
    </w:p>
    <w:p w:rsidR="00475E25" w:rsidRDefault="00475E25" w:rsidP="00475E25">
      <w:pPr>
        <w:jc w:val="center"/>
        <w:rPr>
          <w:b/>
          <w:szCs w:val="18"/>
          <w:lang w:eastAsia="en-US"/>
        </w:rPr>
      </w:pPr>
      <w:r w:rsidRPr="00D249F7">
        <w:rPr>
          <w:b/>
          <w:szCs w:val="18"/>
          <w:lang w:eastAsia="en-US"/>
        </w:rPr>
        <w:t>SUPAPRASTINTŲ PIRKIMŲ ŽURNALAS</w:t>
      </w:r>
    </w:p>
    <w:p w:rsidR="00475E25" w:rsidRPr="00D249F7" w:rsidRDefault="00475E25" w:rsidP="00475E25">
      <w:pPr>
        <w:jc w:val="center"/>
        <w:rPr>
          <w:b/>
          <w:szCs w:val="18"/>
          <w:lang w:eastAsia="en-US"/>
        </w:rPr>
      </w:pPr>
    </w:p>
    <w:tbl>
      <w:tblPr>
        <w:tblW w:w="15407" w:type="dxa"/>
        <w:tblInd w:w="93" w:type="dxa"/>
        <w:tblLook w:val="0000"/>
      </w:tblPr>
      <w:tblGrid>
        <w:gridCol w:w="511"/>
        <w:gridCol w:w="3048"/>
        <w:gridCol w:w="1985"/>
        <w:gridCol w:w="2440"/>
        <w:gridCol w:w="1380"/>
        <w:gridCol w:w="1100"/>
        <w:gridCol w:w="983"/>
        <w:gridCol w:w="1320"/>
        <w:gridCol w:w="1160"/>
        <w:gridCol w:w="1480"/>
      </w:tblGrid>
      <w:tr w:rsidR="00475E25">
        <w:trPr>
          <w:trHeight w:val="102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Eil. Nr.</w:t>
            </w:r>
          </w:p>
        </w:tc>
        <w:tc>
          <w:tcPr>
            <w:tcW w:w="3048"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Supaprastinto pirkimo pavadinimas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Prekių, paslaugų ar darbų kodas pagal BVPŽ</w:t>
            </w:r>
          </w:p>
        </w:tc>
        <w:tc>
          <w:tcPr>
            <w:tcW w:w="244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Tiekėjo, su kuriuo sudaryta sutartis, pavadinimas</w:t>
            </w:r>
          </w:p>
        </w:tc>
        <w:tc>
          <w:tcPr>
            <w:tcW w:w="138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Sutarties numeris ir sudarymo data</w:t>
            </w:r>
          </w:p>
        </w:tc>
        <w:tc>
          <w:tcPr>
            <w:tcW w:w="110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Sutarties vertė, Lt</w:t>
            </w:r>
          </w:p>
        </w:tc>
        <w:tc>
          <w:tcPr>
            <w:tcW w:w="983"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Sutarties trukmė</w:t>
            </w:r>
          </w:p>
        </w:tc>
        <w:tc>
          <w:tcPr>
            <w:tcW w:w="132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Pirkimo būdas</w:t>
            </w:r>
          </w:p>
        </w:tc>
        <w:tc>
          <w:tcPr>
            <w:tcW w:w="116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Pastabos</w:t>
            </w:r>
          </w:p>
        </w:tc>
        <w:tc>
          <w:tcPr>
            <w:tcW w:w="148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9F5F58">
            <w:pPr>
              <w:jc w:val="center"/>
              <w:rPr>
                <w:b/>
                <w:bCs/>
                <w:sz w:val="20"/>
                <w:szCs w:val="20"/>
              </w:rPr>
            </w:pPr>
            <w:r>
              <w:rPr>
                <w:b/>
                <w:bCs/>
                <w:sz w:val="20"/>
                <w:szCs w:val="20"/>
              </w:rPr>
              <w:t>Už žurnalo pildymą atsakingo asmens parašas</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r>
              <w:rPr>
                <w:sz w:val="22"/>
                <w:szCs w:val="22"/>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r>
              <w:rPr>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18"/>
                <w:szCs w:val="18"/>
              </w:rPr>
            </w:pPr>
            <w:r>
              <w:rPr>
                <w:sz w:val="18"/>
                <w:szCs w:val="18"/>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18"/>
                <w:szCs w:val="18"/>
              </w:rPr>
            </w:pPr>
            <w:r>
              <w:rPr>
                <w:sz w:val="18"/>
                <w:szCs w:val="18"/>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9F5F58">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9F5F58">
            <w:pPr>
              <w:rPr>
                <w:sz w:val="20"/>
                <w:szCs w:val="20"/>
              </w:rPr>
            </w:pPr>
            <w:r>
              <w:rPr>
                <w:sz w:val="20"/>
                <w:szCs w:val="20"/>
              </w:rPr>
              <w:t> </w:t>
            </w:r>
          </w:p>
        </w:tc>
      </w:tr>
    </w:tbl>
    <w:p w:rsidR="00475E25" w:rsidRDefault="00475E25" w:rsidP="00475E25">
      <w:pPr>
        <w:rPr>
          <w:lang w:eastAsia="en-US"/>
        </w:rPr>
      </w:pPr>
    </w:p>
    <w:p w:rsidR="00475E25" w:rsidRDefault="00475E25" w:rsidP="00475E25">
      <w:pPr>
        <w:rPr>
          <w:sz w:val="18"/>
          <w:szCs w:val="18"/>
        </w:rPr>
      </w:pPr>
    </w:p>
    <w:p w:rsidR="00475E25" w:rsidRPr="00476CF1" w:rsidRDefault="00475E25" w:rsidP="00475E25">
      <w:pPr>
        <w:ind w:left="1012" w:firstLine="11037"/>
        <w:rPr>
          <w:sz w:val="18"/>
          <w:szCs w:val="18"/>
        </w:rPr>
      </w:pPr>
      <w:r>
        <w:rPr>
          <w:sz w:val="18"/>
          <w:szCs w:val="18"/>
        </w:rPr>
        <w:t>Marijampolės moksleivių kūrybos centro</w:t>
      </w:r>
      <w:r w:rsidRPr="00476CF1">
        <w:rPr>
          <w:sz w:val="18"/>
          <w:szCs w:val="18"/>
        </w:rPr>
        <w:t xml:space="preserve"> </w:t>
      </w:r>
    </w:p>
    <w:p w:rsidR="00475E25" w:rsidRPr="00476CF1" w:rsidRDefault="00475E25" w:rsidP="00475E25">
      <w:pPr>
        <w:ind w:left="1012" w:firstLine="11037"/>
        <w:rPr>
          <w:sz w:val="18"/>
          <w:szCs w:val="18"/>
        </w:rPr>
      </w:pPr>
      <w:r>
        <w:rPr>
          <w:sz w:val="18"/>
          <w:szCs w:val="18"/>
        </w:rPr>
        <w:t>S</w:t>
      </w:r>
      <w:r w:rsidRPr="00476CF1">
        <w:rPr>
          <w:sz w:val="18"/>
          <w:szCs w:val="18"/>
        </w:rPr>
        <w:t>upaprastintų viešųjų pirkimų taisyklių</w:t>
      </w:r>
    </w:p>
    <w:p w:rsidR="00475E25" w:rsidRPr="00DB3362" w:rsidRDefault="00475E25" w:rsidP="00475E25">
      <w:pPr>
        <w:ind w:left="1012" w:firstLine="11037"/>
      </w:pPr>
      <w:r w:rsidRPr="00476CF1">
        <w:rPr>
          <w:sz w:val="18"/>
          <w:szCs w:val="18"/>
        </w:rPr>
        <w:t>4 priedas</w:t>
      </w:r>
    </w:p>
    <w:p w:rsidR="00475E25" w:rsidRPr="00475E25" w:rsidRDefault="00475E25" w:rsidP="00475E25">
      <w:pPr>
        <w:ind w:firstLine="12049"/>
        <w:rPr>
          <w:sz w:val="20"/>
          <w:szCs w:val="20"/>
        </w:rPr>
      </w:pPr>
      <w:r>
        <w:tab/>
      </w:r>
    </w:p>
    <w:p w:rsidR="00475E25" w:rsidRPr="00476CF1" w:rsidRDefault="00475E25" w:rsidP="00475E25">
      <w:pPr>
        <w:ind w:firstLine="11057"/>
        <w:rPr>
          <w:sz w:val="20"/>
          <w:szCs w:val="20"/>
        </w:rPr>
      </w:pPr>
      <w:r>
        <w:rPr>
          <w:sz w:val="20"/>
          <w:szCs w:val="20"/>
        </w:rPr>
        <w:t>TVIRTINU</w:t>
      </w:r>
    </w:p>
    <w:p w:rsidR="00475E25" w:rsidRPr="00476CF1" w:rsidRDefault="00475E25" w:rsidP="00475E25">
      <w:pPr>
        <w:ind w:firstLine="11057"/>
        <w:rPr>
          <w:sz w:val="20"/>
          <w:szCs w:val="20"/>
        </w:rPr>
      </w:pPr>
      <w:r>
        <w:rPr>
          <w:sz w:val="20"/>
          <w:szCs w:val="20"/>
        </w:rPr>
        <w:t>Direktorius</w:t>
      </w:r>
    </w:p>
    <w:p w:rsidR="00475E25" w:rsidRDefault="00475E25" w:rsidP="00475E25">
      <w:pPr>
        <w:ind w:firstLine="11057"/>
        <w:rPr>
          <w:sz w:val="20"/>
          <w:szCs w:val="20"/>
        </w:rPr>
      </w:pPr>
      <w:r w:rsidRPr="00476CF1">
        <w:rPr>
          <w:sz w:val="20"/>
          <w:szCs w:val="20"/>
        </w:rPr>
        <w:t xml:space="preserve">(Parašas)                        </w:t>
      </w:r>
    </w:p>
    <w:p w:rsidR="00475E25" w:rsidRPr="00476CF1" w:rsidRDefault="00475E25" w:rsidP="00475E25">
      <w:pPr>
        <w:ind w:firstLine="11057"/>
        <w:rPr>
          <w:sz w:val="20"/>
          <w:szCs w:val="20"/>
        </w:rPr>
      </w:pPr>
      <w:r w:rsidRPr="00476CF1">
        <w:rPr>
          <w:sz w:val="20"/>
          <w:szCs w:val="20"/>
        </w:rPr>
        <w:t>A.V.</w:t>
      </w:r>
    </w:p>
    <w:p w:rsidR="00475E25" w:rsidRPr="00476CF1" w:rsidRDefault="00475E25" w:rsidP="00475E25">
      <w:pPr>
        <w:ind w:firstLine="11057"/>
        <w:rPr>
          <w:sz w:val="20"/>
          <w:szCs w:val="20"/>
        </w:rPr>
      </w:pPr>
      <w:r w:rsidRPr="00476CF1">
        <w:rPr>
          <w:sz w:val="20"/>
          <w:szCs w:val="20"/>
        </w:rPr>
        <w:t>(Vardas ir pavardė)</w:t>
      </w:r>
    </w:p>
    <w:p w:rsidR="00475E25" w:rsidRPr="00A76978" w:rsidRDefault="00475E25" w:rsidP="00475E25">
      <w:pPr>
        <w:jc w:val="center"/>
        <w:rPr>
          <w:b/>
        </w:rPr>
      </w:pPr>
      <w:r w:rsidRPr="00A76978">
        <w:rPr>
          <w:b/>
        </w:rPr>
        <w:t>TIEKĖJŲ APKLAUSOS PAŽYMA</w:t>
      </w:r>
    </w:p>
    <w:p w:rsidR="00475E25" w:rsidRPr="00475E25" w:rsidRDefault="00475E25" w:rsidP="00475E25">
      <w:pPr>
        <w:pStyle w:val="Title"/>
        <w:widowControl w:val="0"/>
        <w:pBdr>
          <w:bottom w:val="none" w:sz="0" w:space="0" w:color="auto"/>
        </w:pBdr>
        <w:spacing w:after="0"/>
        <w:ind w:right="8335"/>
        <w:rPr>
          <w:rFonts w:ascii="Times New Roman" w:hAnsi="Times New Roman" w:cs="Times New Roman"/>
          <w:color w:val="auto"/>
          <w:sz w:val="20"/>
          <w:szCs w:val="20"/>
        </w:rPr>
      </w:pPr>
    </w:p>
    <w:p w:rsidR="00475E25" w:rsidRPr="00475E25" w:rsidRDefault="00475E25" w:rsidP="00475E25">
      <w:pPr>
        <w:pStyle w:val="Title"/>
        <w:pBdr>
          <w:bottom w:val="none" w:sz="0" w:space="0" w:color="auto"/>
        </w:pBdr>
        <w:spacing w:after="0"/>
        <w:ind w:right="-29"/>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data:</w:t>
      </w:r>
      <w:r w:rsidRPr="00475E25">
        <w:rPr>
          <w:rFonts w:ascii="Times New Roman" w:hAnsi="Times New Roman" w:cs="Times New Roman"/>
          <w:b/>
          <w:color w:val="auto"/>
          <w:sz w:val="22"/>
          <w:szCs w:val="22"/>
        </w:rPr>
        <w:t>.................................................................................................................................</w:t>
      </w:r>
      <w:r w:rsidR="005A1582">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objekto pavadinimas</w:t>
      </w:r>
      <w:r w:rsidRPr="00475E25">
        <w:rPr>
          <w:rFonts w:ascii="Times New Roman" w:hAnsi="Times New Roman" w:cs="Times New Roman"/>
          <w:b/>
          <w:color w:val="auto"/>
          <w:sz w:val="22"/>
          <w:szCs w:val="22"/>
        </w:rPr>
        <w:t>:........................................................................................................</w:t>
      </w:r>
      <w:r w:rsidR="005A1582">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color w:val="auto"/>
          <w:sz w:val="22"/>
          <w:szCs w:val="22"/>
        </w:rPr>
      </w:pPr>
      <w:r w:rsidRPr="00475E25">
        <w:rPr>
          <w:rFonts w:ascii="Times New Roman" w:hAnsi="Times New Roman" w:cs="Times New Roman"/>
          <w:color w:val="auto"/>
          <w:sz w:val="22"/>
          <w:szCs w:val="22"/>
        </w:rPr>
        <w:t>Pirkimo objekto kodas pagal BVPŽ:</w:t>
      </w:r>
      <w:r w:rsidRPr="00475E25">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color w:val="auto"/>
          <w:sz w:val="22"/>
          <w:szCs w:val="22"/>
        </w:rPr>
      </w:pPr>
      <w:r w:rsidRPr="00475E25">
        <w:rPr>
          <w:rFonts w:ascii="Times New Roman" w:hAnsi="Times New Roman" w:cs="Times New Roman"/>
          <w:color w:val="auto"/>
          <w:sz w:val="22"/>
          <w:szCs w:val="22"/>
        </w:rPr>
        <w:t>Numatoma pirkimo vertė:</w:t>
      </w:r>
      <w:r w:rsidRPr="00475E25">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rPr>
          <w:rFonts w:ascii="Times New Roman" w:hAnsi="Times New Roman" w:cs="Times New Roman"/>
          <w:color w:val="auto"/>
          <w:sz w:val="22"/>
          <w:szCs w:val="22"/>
        </w:rPr>
      </w:pPr>
      <w:r w:rsidRPr="00475E25">
        <w:rPr>
          <w:rFonts w:ascii="Times New Roman" w:hAnsi="Times New Roman" w:cs="Times New Roman"/>
          <w:color w:val="auto"/>
          <w:sz w:val="22"/>
          <w:szCs w:val="22"/>
        </w:rPr>
        <w:t>Pirkimo trumpas aprašymas ir pagrindinės pirkimo sąlygos:</w:t>
      </w:r>
      <w:r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rPr>
          <w:rFonts w:ascii="Times New Roman" w:hAnsi="Times New Roman" w:cs="Times New Roman"/>
          <w:b/>
          <w:color w:val="auto"/>
          <w:sz w:val="22"/>
          <w:szCs w:val="22"/>
        </w:rPr>
      </w:pPr>
      <w:r w:rsidRPr="00475E25">
        <w:rPr>
          <w:rFonts w:ascii="Times New Roman" w:hAnsi="Times New Roman" w:cs="Times New Roman"/>
          <w:b/>
          <w:color w:val="auto"/>
          <w:sz w:val="22"/>
          <w:szCs w:val="22"/>
        </w:rPr>
        <w:t>......................................................................................................................................................................................................................................................................</w:t>
      </w:r>
    </w:p>
    <w:p w:rsidR="00475E25" w:rsidRPr="00475E25" w:rsidRDefault="00475E25" w:rsidP="00475E25">
      <w:pPr>
        <w:pStyle w:val="BodyText"/>
        <w:rPr>
          <w:b/>
          <w:strike w:val="0"/>
          <w:sz w:val="22"/>
          <w:szCs w:val="22"/>
        </w:rPr>
      </w:pPr>
      <w:r w:rsidRPr="00475E25">
        <w:rPr>
          <w:b/>
          <w:strike w:val="0"/>
          <w:sz w:val="22"/>
          <w:szCs w:val="22"/>
        </w:rPr>
        <w:t>Vertinimo kriterijus:</w:t>
      </w:r>
      <w:r w:rsidRPr="00475E25">
        <w:rPr>
          <w:b/>
          <w:strike w:val="0"/>
          <w:sz w:val="22"/>
          <w:szCs w:val="22"/>
        </w:rPr>
        <w:tab/>
      </w:r>
      <w:r w:rsidRPr="00475E25">
        <w:rPr>
          <w:b/>
          <w:strike w:val="0"/>
          <w:sz w:val="22"/>
          <w:szCs w:val="22"/>
        </w:rPr>
        <w:tab/>
      </w:r>
      <w:r w:rsidRPr="00475E25">
        <w:rPr>
          <w:b/>
          <w:strike w:val="0"/>
          <w:sz w:val="22"/>
          <w:szCs w:val="22"/>
        </w:rPr>
        <w:tab/>
      </w:r>
      <w:r w:rsidRPr="00475E25">
        <w:rPr>
          <w:b/>
          <w:strike w:val="0"/>
          <w:sz w:val="22"/>
          <w:szCs w:val="22"/>
        </w:rPr>
        <w:tab/>
      </w:r>
      <w:r w:rsidRPr="00475E25">
        <w:rPr>
          <w:b/>
          <w:strike w:val="0"/>
          <w:sz w:val="22"/>
          <w:szCs w:val="22"/>
        </w:rPr>
        <w:tab/>
      </w:r>
      <w:r w:rsidRPr="00475E25">
        <w:rPr>
          <w:b/>
          <w:strike w:val="0"/>
          <w:sz w:val="22"/>
          <w:szCs w:val="22"/>
        </w:rPr>
        <w:tab/>
        <w:t xml:space="preserve">Tiekėjai apklausti: </w:t>
      </w:r>
      <w:r w:rsidRPr="00475E25">
        <w:rPr>
          <w:strike w:val="0"/>
          <w:sz w:val="22"/>
          <w:szCs w:val="22"/>
        </w:rPr>
        <w:t>raštu ar žodžiu (nereikalingą išbraukti)</w:t>
      </w:r>
    </w:p>
    <w:p w:rsidR="00475E25" w:rsidRPr="00783D5C" w:rsidRDefault="00475E25" w:rsidP="00475E25">
      <w:pPr>
        <w:rPr>
          <w:b/>
          <w:sz w:val="22"/>
          <w:szCs w:val="22"/>
        </w:rPr>
      </w:pPr>
      <w:r w:rsidRPr="00783D5C">
        <w:rPr>
          <w:b/>
          <w:sz w:val="22"/>
          <w:szCs w:val="22"/>
        </w:rPr>
        <w:t>Apklausti tiekėjai:</w:t>
      </w:r>
    </w:p>
    <w:tbl>
      <w:tblPr>
        <w:tblpPr w:leftFromText="180" w:rightFromText="180" w:vertAnchor="text" w:horzAnchor="margin" w:tblpXSpec="inside"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3915"/>
        <w:gridCol w:w="5596"/>
        <w:gridCol w:w="5225"/>
      </w:tblGrid>
      <w:tr w:rsidR="00475E25" w:rsidRPr="00476CF1">
        <w:trPr>
          <w:trHeight w:val="349"/>
        </w:trPr>
        <w:tc>
          <w:tcPr>
            <w:tcW w:w="732" w:type="dxa"/>
            <w:tcBorders>
              <w:bottom w:val="double" w:sz="4" w:space="0" w:color="auto"/>
            </w:tcBorders>
          </w:tcPr>
          <w:p w:rsidR="00475E25" w:rsidRPr="00476CF1" w:rsidRDefault="00475E25" w:rsidP="009F5F58">
            <w:pPr>
              <w:jc w:val="center"/>
              <w:rPr>
                <w:b/>
                <w:sz w:val="20"/>
                <w:szCs w:val="20"/>
              </w:rPr>
            </w:pPr>
            <w:r w:rsidRPr="00476CF1">
              <w:rPr>
                <w:b/>
                <w:sz w:val="20"/>
                <w:szCs w:val="20"/>
              </w:rPr>
              <w:t>Eil.</w:t>
            </w:r>
          </w:p>
          <w:p w:rsidR="00475E25" w:rsidRPr="00476CF1" w:rsidRDefault="00475E25" w:rsidP="009F5F58">
            <w:pPr>
              <w:jc w:val="center"/>
              <w:rPr>
                <w:b/>
                <w:sz w:val="20"/>
                <w:szCs w:val="20"/>
              </w:rPr>
            </w:pPr>
            <w:r w:rsidRPr="00476CF1">
              <w:rPr>
                <w:b/>
                <w:sz w:val="20"/>
                <w:szCs w:val="20"/>
              </w:rPr>
              <w:t>Nr.</w:t>
            </w:r>
          </w:p>
        </w:tc>
        <w:tc>
          <w:tcPr>
            <w:tcW w:w="3915" w:type="dxa"/>
            <w:tcBorders>
              <w:bottom w:val="double" w:sz="4" w:space="0" w:color="auto"/>
            </w:tcBorders>
          </w:tcPr>
          <w:p w:rsidR="00475E25" w:rsidRPr="00476CF1" w:rsidRDefault="00475E25" w:rsidP="009F5F58">
            <w:pPr>
              <w:jc w:val="center"/>
              <w:rPr>
                <w:b/>
                <w:sz w:val="20"/>
                <w:szCs w:val="20"/>
              </w:rPr>
            </w:pPr>
            <w:r w:rsidRPr="00476CF1">
              <w:rPr>
                <w:b/>
                <w:sz w:val="20"/>
                <w:szCs w:val="20"/>
              </w:rPr>
              <w:t>Tiekėjo pavadinimas</w:t>
            </w:r>
          </w:p>
        </w:tc>
        <w:tc>
          <w:tcPr>
            <w:tcW w:w="5596" w:type="dxa"/>
            <w:tcBorders>
              <w:bottom w:val="double" w:sz="4" w:space="0" w:color="auto"/>
            </w:tcBorders>
          </w:tcPr>
          <w:p w:rsidR="00475E25" w:rsidRPr="00476CF1" w:rsidRDefault="00475E25" w:rsidP="009F5F58">
            <w:pPr>
              <w:jc w:val="center"/>
              <w:rPr>
                <w:b/>
                <w:sz w:val="20"/>
                <w:szCs w:val="20"/>
              </w:rPr>
            </w:pPr>
            <w:r w:rsidRPr="00476CF1">
              <w:rPr>
                <w:b/>
                <w:sz w:val="20"/>
                <w:szCs w:val="20"/>
              </w:rPr>
              <w:t>Adresas, telefonas, faksas ir pan. (jei žinoma)</w:t>
            </w:r>
          </w:p>
        </w:tc>
        <w:tc>
          <w:tcPr>
            <w:tcW w:w="5225" w:type="dxa"/>
            <w:tcBorders>
              <w:bottom w:val="double" w:sz="4" w:space="0" w:color="auto"/>
            </w:tcBorders>
          </w:tcPr>
          <w:p w:rsidR="00475E25" w:rsidRPr="00476CF1" w:rsidRDefault="00475E25" w:rsidP="009F5F58">
            <w:pPr>
              <w:jc w:val="center"/>
              <w:rPr>
                <w:b/>
                <w:sz w:val="20"/>
                <w:szCs w:val="20"/>
              </w:rPr>
            </w:pPr>
            <w:r w:rsidRPr="00476CF1">
              <w:rPr>
                <w:b/>
                <w:sz w:val="20"/>
                <w:szCs w:val="20"/>
              </w:rPr>
              <w:t>Siūlymą pateikusio asmens pareigos,</w:t>
            </w:r>
          </w:p>
          <w:p w:rsidR="00475E25" w:rsidRPr="00476CF1" w:rsidRDefault="00475E25" w:rsidP="009F5F58">
            <w:pPr>
              <w:jc w:val="center"/>
              <w:rPr>
                <w:b/>
                <w:sz w:val="20"/>
                <w:szCs w:val="20"/>
              </w:rPr>
            </w:pPr>
            <w:r w:rsidRPr="00476CF1">
              <w:rPr>
                <w:b/>
                <w:sz w:val="20"/>
                <w:szCs w:val="20"/>
              </w:rPr>
              <w:t>vardas, pavardė (jei žinoma)</w:t>
            </w:r>
          </w:p>
        </w:tc>
      </w:tr>
      <w:tr w:rsidR="00475E25" w:rsidRPr="00F247B9">
        <w:trPr>
          <w:trHeight w:val="225"/>
        </w:trPr>
        <w:tc>
          <w:tcPr>
            <w:tcW w:w="732" w:type="dxa"/>
            <w:tcBorders>
              <w:top w:val="nil"/>
            </w:tcBorders>
          </w:tcPr>
          <w:p w:rsidR="00475E25" w:rsidRPr="00F247B9" w:rsidRDefault="00475E25" w:rsidP="009F5F58">
            <w:pPr>
              <w:jc w:val="center"/>
            </w:pPr>
          </w:p>
        </w:tc>
        <w:tc>
          <w:tcPr>
            <w:tcW w:w="3915" w:type="dxa"/>
            <w:tcBorders>
              <w:top w:val="nil"/>
            </w:tcBorders>
          </w:tcPr>
          <w:p w:rsidR="00475E25" w:rsidRPr="00843F96" w:rsidRDefault="00475E25" w:rsidP="009F5F58"/>
        </w:tc>
        <w:tc>
          <w:tcPr>
            <w:tcW w:w="5596" w:type="dxa"/>
            <w:tcBorders>
              <w:top w:val="nil"/>
            </w:tcBorders>
          </w:tcPr>
          <w:p w:rsidR="00475E25" w:rsidRPr="00843F96" w:rsidRDefault="00475E25" w:rsidP="009F5F58"/>
        </w:tc>
        <w:tc>
          <w:tcPr>
            <w:tcW w:w="5225" w:type="dxa"/>
            <w:tcBorders>
              <w:top w:val="nil"/>
            </w:tcBorders>
          </w:tcPr>
          <w:p w:rsidR="00475E25" w:rsidRPr="00F247B9" w:rsidRDefault="00475E25" w:rsidP="009F5F58"/>
        </w:tc>
      </w:tr>
      <w:tr w:rsidR="00475E25" w:rsidRPr="00F247B9">
        <w:trPr>
          <w:trHeight w:val="187"/>
        </w:trPr>
        <w:tc>
          <w:tcPr>
            <w:tcW w:w="732" w:type="dxa"/>
          </w:tcPr>
          <w:p w:rsidR="00475E25" w:rsidRPr="00F247B9" w:rsidRDefault="00475E25" w:rsidP="009F5F58">
            <w:pPr>
              <w:jc w:val="center"/>
            </w:pPr>
          </w:p>
        </w:tc>
        <w:tc>
          <w:tcPr>
            <w:tcW w:w="3915" w:type="dxa"/>
          </w:tcPr>
          <w:p w:rsidR="00475E25" w:rsidRPr="00F247B9" w:rsidRDefault="00475E25" w:rsidP="009F5F58"/>
        </w:tc>
        <w:tc>
          <w:tcPr>
            <w:tcW w:w="5596" w:type="dxa"/>
          </w:tcPr>
          <w:p w:rsidR="00475E25" w:rsidRPr="00843F96" w:rsidRDefault="00475E25" w:rsidP="009F5F58"/>
        </w:tc>
        <w:tc>
          <w:tcPr>
            <w:tcW w:w="5225" w:type="dxa"/>
          </w:tcPr>
          <w:p w:rsidR="00475E25" w:rsidRPr="00C15303" w:rsidRDefault="00475E25" w:rsidP="009F5F58"/>
        </w:tc>
      </w:tr>
      <w:tr w:rsidR="00475E25" w:rsidRPr="00F247B9">
        <w:trPr>
          <w:trHeight w:val="239"/>
        </w:trPr>
        <w:tc>
          <w:tcPr>
            <w:tcW w:w="732" w:type="dxa"/>
            <w:tcBorders>
              <w:bottom w:val="single" w:sz="4" w:space="0" w:color="auto"/>
            </w:tcBorders>
          </w:tcPr>
          <w:p w:rsidR="00475E25" w:rsidRPr="00F247B9" w:rsidRDefault="00475E25" w:rsidP="009F5F58">
            <w:pPr>
              <w:jc w:val="center"/>
            </w:pPr>
          </w:p>
        </w:tc>
        <w:tc>
          <w:tcPr>
            <w:tcW w:w="3915" w:type="dxa"/>
            <w:tcBorders>
              <w:bottom w:val="single" w:sz="4" w:space="0" w:color="auto"/>
            </w:tcBorders>
          </w:tcPr>
          <w:p w:rsidR="00475E25" w:rsidRPr="00F247B9" w:rsidRDefault="00475E25" w:rsidP="009F5F58"/>
        </w:tc>
        <w:tc>
          <w:tcPr>
            <w:tcW w:w="5596" w:type="dxa"/>
            <w:tcBorders>
              <w:bottom w:val="single" w:sz="4" w:space="0" w:color="auto"/>
            </w:tcBorders>
          </w:tcPr>
          <w:p w:rsidR="00475E25" w:rsidRPr="00843F96" w:rsidRDefault="00475E25" w:rsidP="009F5F58"/>
        </w:tc>
        <w:tc>
          <w:tcPr>
            <w:tcW w:w="5225" w:type="dxa"/>
            <w:tcBorders>
              <w:bottom w:val="single" w:sz="4" w:space="0" w:color="auto"/>
            </w:tcBorders>
          </w:tcPr>
          <w:p w:rsidR="00475E25" w:rsidRPr="00C15303" w:rsidRDefault="00475E25" w:rsidP="009F5F58"/>
        </w:tc>
      </w:tr>
      <w:tr w:rsidR="00475E25" w:rsidRPr="00F247B9">
        <w:trPr>
          <w:trHeight w:val="170"/>
        </w:trPr>
        <w:tc>
          <w:tcPr>
            <w:tcW w:w="732" w:type="dxa"/>
            <w:tcBorders>
              <w:top w:val="single" w:sz="4" w:space="0" w:color="auto"/>
              <w:left w:val="nil"/>
              <w:bottom w:val="nil"/>
              <w:right w:val="nil"/>
            </w:tcBorders>
          </w:tcPr>
          <w:p w:rsidR="00475E25" w:rsidRPr="00F247B9" w:rsidRDefault="00475E25" w:rsidP="009F5F58">
            <w:pPr>
              <w:jc w:val="center"/>
            </w:pPr>
          </w:p>
        </w:tc>
        <w:tc>
          <w:tcPr>
            <w:tcW w:w="3915" w:type="dxa"/>
            <w:tcBorders>
              <w:top w:val="single" w:sz="4" w:space="0" w:color="auto"/>
              <w:left w:val="nil"/>
              <w:bottom w:val="nil"/>
              <w:right w:val="nil"/>
            </w:tcBorders>
          </w:tcPr>
          <w:p w:rsidR="00475E25" w:rsidRPr="00476CF1" w:rsidRDefault="00475E25" w:rsidP="009F5F58">
            <w:pPr>
              <w:pStyle w:val="Caption"/>
              <w:rPr>
                <w:sz w:val="22"/>
                <w:szCs w:val="22"/>
                <w:lang w:val="lt-LT"/>
              </w:rPr>
            </w:pPr>
            <w:proofErr w:type="spellStart"/>
            <w:r w:rsidRPr="00783D5C">
              <w:t>Tiekėjų</w:t>
            </w:r>
            <w:proofErr w:type="spellEnd"/>
            <w:r w:rsidRPr="00783D5C">
              <w:t xml:space="preserve"> </w:t>
            </w:r>
            <w:proofErr w:type="spellStart"/>
            <w:r w:rsidRPr="00783D5C">
              <w:t>siūlymai</w:t>
            </w:r>
            <w:proofErr w:type="spellEnd"/>
            <w:r w:rsidRPr="00783D5C">
              <w:t>:</w:t>
            </w:r>
          </w:p>
        </w:tc>
        <w:tc>
          <w:tcPr>
            <w:tcW w:w="5596" w:type="dxa"/>
            <w:tcBorders>
              <w:top w:val="single" w:sz="4" w:space="0" w:color="auto"/>
              <w:left w:val="nil"/>
              <w:bottom w:val="nil"/>
              <w:right w:val="nil"/>
            </w:tcBorders>
          </w:tcPr>
          <w:p w:rsidR="00475E25" w:rsidRPr="00843F96" w:rsidRDefault="00475E25" w:rsidP="009F5F58"/>
        </w:tc>
        <w:tc>
          <w:tcPr>
            <w:tcW w:w="5225" w:type="dxa"/>
            <w:tcBorders>
              <w:top w:val="single" w:sz="4" w:space="0" w:color="auto"/>
              <w:left w:val="nil"/>
              <w:bottom w:val="nil"/>
              <w:right w:val="nil"/>
            </w:tcBorders>
          </w:tcPr>
          <w:p w:rsidR="00475E25" w:rsidRPr="00F247B9" w:rsidRDefault="00475E25" w:rsidP="009F5F58"/>
        </w:tc>
      </w:tr>
    </w:tbl>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3936"/>
        <w:gridCol w:w="1418"/>
        <w:gridCol w:w="1984"/>
        <w:gridCol w:w="1701"/>
        <w:gridCol w:w="2268"/>
        <w:gridCol w:w="3453"/>
      </w:tblGrid>
      <w:tr w:rsidR="00475E25" w:rsidRPr="00476CF1">
        <w:trPr>
          <w:cantSplit/>
          <w:trHeight w:val="139"/>
        </w:trPr>
        <w:tc>
          <w:tcPr>
            <w:tcW w:w="742" w:type="dxa"/>
            <w:vMerge w:val="restart"/>
          </w:tcPr>
          <w:p w:rsidR="00475E25" w:rsidRPr="00476CF1" w:rsidRDefault="00475E25" w:rsidP="009F5F58">
            <w:pPr>
              <w:jc w:val="center"/>
              <w:rPr>
                <w:b/>
                <w:sz w:val="20"/>
                <w:szCs w:val="20"/>
              </w:rPr>
            </w:pPr>
            <w:r w:rsidRPr="00476CF1">
              <w:rPr>
                <w:b/>
                <w:sz w:val="20"/>
                <w:szCs w:val="20"/>
              </w:rPr>
              <w:t>Eil.</w:t>
            </w:r>
          </w:p>
          <w:p w:rsidR="00475E25" w:rsidRPr="00476CF1" w:rsidRDefault="00475E25" w:rsidP="009F5F58">
            <w:pPr>
              <w:jc w:val="center"/>
              <w:rPr>
                <w:b/>
                <w:sz w:val="20"/>
                <w:szCs w:val="20"/>
              </w:rPr>
            </w:pPr>
            <w:r w:rsidRPr="00476CF1">
              <w:rPr>
                <w:b/>
                <w:sz w:val="20"/>
                <w:szCs w:val="20"/>
              </w:rPr>
              <w:t>Nr.</w:t>
            </w:r>
          </w:p>
        </w:tc>
        <w:tc>
          <w:tcPr>
            <w:tcW w:w="3936" w:type="dxa"/>
            <w:vMerge w:val="restart"/>
          </w:tcPr>
          <w:p w:rsidR="00475E25" w:rsidRPr="00476CF1" w:rsidRDefault="00475E25" w:rsidP="009F5F58">
            <w:pPr>
              <w:tabs>
                <w:tab w:val="center" w:pos="1906"/>
              </w:tabs>
              <w:rPr>
                <w:b/>
                <w:sz w:val="20"/>
                <w:szCs w:val="20"/>
              </w:rPr>
            </w:pPr>
            <w:r w:rsidRPr="00476CF1">
              <w:rPr>
                <w:b/>
                <w:sz w:val="20"/>
                <w:szCs w:val="20"/>
              </w:rPr>
              <w:tab/>
              <w:t>Tiekėjo pavadinimas</w:t>
            </w:r>
          </w:p>
        </w:tc>
        <w:tc>
          <w:tcPr>
            <w:tcW w:w="1418" w:type="dxa"/>
            <w:vMerge w:val="restart"/>
          </w:tcPr>
          <w:p w:rsidR="00475E25" w:rsidRPr="00476CF1" w:rsidRDefault="00475E25" w:rsidP="009F5F58">
            <w:pPr>
              <w:jc w:val="center"/>
              <w:rPr>
                <w:b/>
                <w:sz w:val="20"/>
                <w:szCs w:val="20"/>
              </w:rPr>
            </w:pPr>
            <w:r w:rsidRPr="00476CF1">
              <w:rPr>
                <w:b/>
                <w:sz w:val="20"/>
                <w:szCs w:val="20"/>
              </w:rPr>
              <w:t>Pasiūlymo data</w:t>
            </w:r>
          </w:p>
        </w:tc>
        <w:tc>
          <w:tcPr>
            <w:tcW w:w="9406" w:type="dxa"/>
            <w:gridSpan w:val="4"/>
          </w:tcPr>
          <w:p w:rsidR="00475E25" w:rsidRPr="00476CF1" w:rsidRDefault="00475E25" w:rsidP="009F5F58">
            <w:pPr>
              <w:jc w:val="center"/>
              <w:rPr>
                <w:b/>
                <w:sz w:val="20"/>
                <w:szCs w:val="20"/>
              </w:rPr>
            </w:pPr>
          </w:p>
        </w:tc>
      </w:tr>
      <w:tr w:rsidR="00475E25" w:rsidRPr="00F247B9">
        <w:trPr>
          <w:cantSplit/>
          <w:trHeight w:val="247"/>
        </w:trPr>
        <w:tc>
          <w:tcPr>
            <w:tcW w:w="742" w:type="dxa"/>
            <w:vMerge/>
            <w:tcBorders>
              <w:bottom w:val="double" w:sz="4" w:space="0" w:color="auto"/>
            </w:tcBorders>
          </w:tcPr>
          <w:p w:rsidR="00475E25" w:rsidRPr="00F247B9" w:rsidRDefault="00475E25" w:rsidP="009F5F58">
            <w:pPr>
              <w:jc w:val="center"/>
            </w:pPr>
          </w:p>
        </w:tc>
        <w:tc>
          <w:tcPr>
            <w:tcW w:w="3936" w:type="dxa"/>
            <w:vMerge/>
            <w:tcBorders>
              <w:bottom w:val="double" w:sz="4" w:space="0" w:color="auto"/>
            </w:tcBorders>
          </w:tcPr>
          <w:p w:rsidR="00475E25" w:rsidRPr="00F247B9" w:rsidRDefault="00475E25" w:rsidP="009F5F58">
            <w:pPr>
              <w:jc w:val="center"/>
            </w:pPr>
          </w:p>
        </w:tc>
        <w:tc>
          <w:tcPr>
            <w:tcW w:w="1418" w:type="dxa"/>
            <w:vMerge/>
            <w:tcBorders>
              <w:bottom w:val="double" w:sz="4" w:space="0" w:color="auto"/>
            </w:tcBorders>
          </w:tcPr>
          <w:p w:rsidR="00475E25" w:rsidRPr="00F247B9" w:rsidRDefault="00475E25" w:rsidP="009F5F58">
            <w:pPr>
              <w:jc w:val="center"/>
            </w:pPr>
          </w:p>
        </w:tc>
        <w:tc>
          <w:tcPr>
            <w:tcW w:w="1984" w:type="dxa"/>
          </w:tcPr>
          <w:p w:rsidR="00475E25" w:rsidRPr="00476CF1" w:rsidRDefault="00475E25" w:rsidP="009F5F58">
            <w:pPr>
              <w:jc w:val="center"/>
              <w:rPr>
                <w:b/>
                <w:sz w:val="20"/>
                <w:szCs w:val="20"/>
              </w:rPr>
            </w:pPr>
            <w:r w:rsidRPr="00476CF1">
              <w:rPr>
                <w:b/>
                <w:sz w:val="20"/>
                <w:szCs w:val="20"/>
              </w:rPr>
              <w:t>Kaina (Lt su PVM)</w:t>
            </w:r>
          </w:p>
        </w:tc>
        <w:tc>
          <w:tcPr>
            <w:tcW w:w="1701" w:type="dxa"/>
          </w:tcPr>
          <w:p w:rsidR="00475E25" w:rsidRPr="00476CF1" w:rsidRDefault="00475E25" w:rsidP="009F5F58">
            <w:pPr>
              <w:jc w:val="center"/>
              <w:rPr>
                <w:b/>
                <w:sz w:val="20"/>
                <w:szCs w:val="20"/>
              </w:rPr>
            </w:pPr>
            <w:r w:rsidRPr="00476CF1">
              <w:rPr>
                <w:b/>
                <w:sz w:val="20"/>
                <w:szCs w:val="20"/>
              </w:rPr>
              <w:t>Atlikimo data</w:t>
            </w:r>
          </w:p>
        </w:tc>
        <w:tc>
          <w:tcPr>
            <w:tcW w:w="2268" w:type="dxa"/>
          </w:tcPr>
          <w:p w:rsidR="00475E25" w:rsidRPr="00476CF1" w:rsidRDefault="00475E25" w:rsidP="009F5F58">
            <w:pPr>
              <w:jc w:val="center"/>
              <w:rPr>
                <w:b/>
                <w:sz w:val="20"/>
                <w:szCs w:val="20"/>
              </w:rPr>
            </w:pPr>
            <w:r w:rsidRPr="00476CF1">
              <w:rPr>
                <w:b/>
                <w:sz w:val="20"/>
                <w:szCs w:val="20"/>
              </w:rPr>
              <w:t>Atsiskaitymo sąlygos</w:t>
            </w:r>
          </w:p>
        </w:tc>
        <w:tc>
          <w:tcPr>
            <w:tcW w:w="3453" w:type="dxa"/>
          </w:tcPr>
          <w:p w:rsidR="00475E25" w:rsidRPr="00476CF1" w:rsidRDefault="00475E25" w:rsidP="009F5F58">
            <w:pPr>
              <w:rPr>
                <w:b/>
                <w:sz w:val="20"/>
                <w:szCs w:val="20"/>
              </w:rPr>
            </w:pPr>
            <w:r w:rsidRPr="00476CF1">
              <w:rPr>
                <w:b/>
                <w:sz w:val="20"/>
                <w:szCs w:val="20"/>
              </w:rPr>
              <w:t>Kitos pirkimo sąlygos</w:t>
            </w:r>
          </w:p>
        </w:tc>
      </w:tr>
      <w:tr w:rsidR="00475E25" w:rsidRPr="00F247B9">
        <w:trPr>
          <w:cantSplit/>
          <w:trHeight w:val="203"/>
        </w:trPr>
        <w:tc>
          <w:tcPr>
            <w:tcW w:w="742" w:type="dxa"/>
            <w:vAlign w:val="center"/>
          </w:tcPr>
          <w:p w:rsidR="00475E25" w:rsidRPr="00F247B9" w:rsidRDefault="00475E25" w:rsidP="009F5F58">
            <w:pPr>
              <w:jc w:val="center"/>
            </w:pPr>
          </w:p>
        </w:tc>
        <w:tc>
          <w:tcPr>
            <w:tcW w:w="3936" w:type="dxa"/>
            <w:vAlign w:val="center"/>
          </w:tcPr>
          <w:p w:rsidR="00475E25" w:rsidRPr="00843F96" w:rsidRDefault="00475E25" w:rsidP="009F5F58"/>
        </w:tc>
        <w:tc>
          <w:tcPr>
            <w:tcW w:w="1418" w:type="dxa"/>
            <w:vAlign w:val="center"/>
          </w:tcPr>
          <w:p w:rsidR="00475E25" w:rsidRDefault="00475E25" w:rsidP="009F5F58"/>
        </w:tc>
        <w:tc>
          <w:tcPr>
            <w:tcW w:w="1984" w:type="dxa"/>
          </w:tcPr>
          <w:p w:rsidR="00475E25" w:rsidRPr="00F247B9" w:rsidRDefault="00475E25" w:rsidP="009F5F58">
            <w:pPr>
              <w:jc w:val="center"/>
            </w:pPr>
          </w:p>
        </w:tc>
        <w:tc>
          <w:tcPr>
            <w:tcW w:w="1701" w:type="dxa"/>
          </w:tcPr>
          <w:p w:rsidR="00475E25" w:rsidRPr="00F247B9" w:rsidRDefault="00475E25" w:rsidP="009F5F58">
            <w:pPr>
              <w:jc w:val="center"/>
            </w:pPr>
          </w:p>
        </w:tc>
        <w:tc>
          <w:tcPr>
            <w:tcW w:w="2268" w:type="dxa"/>
          </w:tcPr>
          <w:p w:rsidR="00475E25" w:rsidRPr="00F247B9" w:rsidRDefault="00475E25" w:rsidP="009F5F58">
            <w:pPr>
              <w:jc w:val="center"/>
            </w:pPr>
          </w:p>
        </w:tc>
        <w:tc>
          <w:tcPr>
            <w:tcW w:w="3453" w:type="dxa"/>
          </w:tcPr>
          <w:p w:rsidR="00475E25" w:rsidRPr="00F247B9" w:rsidRDefault="00475E25" w:rsidP="009F5F58">
            <w:pPr>
              <w:jc w:val="center"/>
            </w:pPr>
          </w:p>
        </w:tc>
      </w:tr>
      <w:tr w:rsidR="00475E25" w:rsidRPr="00F247B9">
        <w:trPr>
          <w:cantSplit/>
          <w:trHeight w:val="203"/>
        </w:trPr>
        <w:tc>
          <w:tcPr>
            <w:tcW w:w="742" w:type="dxa"/>
            <w:vAlign w:val="center"/>
          </w:tcPr>
          <w:p w:rsidR="00475E25" w:rsidRPr="00F247B9" w:rsidRDefault="00475E25" w:rsidP="009F5F58">
            <w:pPr>
              <w:jc w:val="center"/>
            </w:pPr>
          </w:p>
        </w:tc>
        <w:tc>
          <w:tcPr>
            <w:tcW w:w="3936" w:type="dxa"/>
            <w:vAlign w:val="center"/>
          </w:tcPr>
          <w:p w:rsidR="00475E25" w:rsidRPr="00843F96" w:rsidRDefault="00475E25" w:rsidP="009F5F58"/>
        </w:tc>
        <w:tc>
          <w:tcPr>
            <w:tcW w:w="1418" w:type="dxa"/>
            <w:vAlign w:val="center"/>
          </w:tcPr>
          <w:p w:rsidR="00475E25" w:rsidRDefault="00475E25" w:rsidP="009F5F58"/>
        </w:tc>
        <w:tc>
          <w:tcPr>
            <w:tcW w:w="1984" w:type="dxa"/>
          </w:tcPr>
          <w:p w:rsidR="00475E25" w:rsidRPr="00F247B9" w:rsidRDefault="00475E25" w:rsidP="009F5F58">
            <w:pPr>
              <w:jc w:val="center"/>
            </w:pPr>
          </w:p>
        </w:tc>
        <w:tc>
          <w:tcPr>
            <w:tcW w:w="1701" w:type="dxa"/>
          </w:tcPr>
          <w:p w:rsidR="00475E25" w:rsidRPr="00F247B9" w:rsidRDefault="00475E25" w:rsidP="009F5F58">
            <w:pPr>
              <w:jc w:val="center"/>
            </w:pPr>
          </w:p>
        </w:tc>
        <w:tc>
          <w:tcPr>
            <w:tcW w:w="2268" w:type="dxa"/>
          </w:tcPr>
          <w:p w:rsidR="00475E25" w:rsidRPr="00F247B9" w:rsidRDefault="00475E25" w:rsidP="009F5F58">
            <w:pPr>
              <w:jc w:val="center"/>
            </w:pPr>
          </w:p>
        </w:tc>
        <w:tc>
          <w:tcPr>
            <w:tcW w:w="3453" w:type="dxa"/>
          </w:tcPr>
          <w:p w:rsidR="00475E25" w:rsidRPr="00F247B9" w:rsidRDefault="00475E25" w:rsidP="009F5F58">
            <w:pPr>
              <w:jc w:val="center"/>
            </w:pPr>
          </w:p>
        </w:tc>
      </w:tr>
      <w:tr w:rsidR="00475E25" w:rsidRPr="00F247B9">
        <w:trPr>
          <w:cantSplit/>
          <w:trHeight w:val="170"/>
        </w:trPr>
        <w:tc>
          <w:tcPr>
            <w:tcW w:w="742" w:type="dxa"/>
            <w:vAlign w:val="center"/>
          </w:tcPr>
          <w:p w:rsidR="00475E25" w:rsidRPr="00F247B9" w:rsidRDefault="00475E25" w:rsidP="009F5F58">
            <w:pPr>
              <w:jc w:val="center"/>
            </w:pPr>
          </w:p>
        </w:tc>
        <w:tc>
          <w:tcPr>
            <w:tcW w:w="3936" w:type="dxa"/>
            <w:vAlign w:val="center"/>
          </w:tcPr>
          <w:p w:rsidR="00475E25" w:rsidRPr="00F247B9" w:rsidRDefault="00475E25" w:rsidP="009F5F58"/>
        </w:tc>
        <w:tc>
          <w:tcPr>
            <w:tcW w:w="1418" w:type="dxa"/>
            <w:vAlign w:val="center"/>
          </w:tcPr>
          <w:p w:rsidR="00475E25" w:rsidRDefault="00475E25" w:rsidP="009F5F58"/>
        </w:tc>
        <w:tc>
          <w:tcPr>
            <w:tcW w:w="1984" w:type="dxa"/>
          </w:tcPr>
          <w:p w:rsidR="00475E25" w:rsidRDefault="00475E25" w:rsidP="009F5F58">
            <w:pPr>
              <w:jc w:val="center"/>
            </w:pPr>
          </w:p>
        </w:tc>
        <w:tc>
          <w:tcPr>
            <w:tcW w:w="1701" w:type="dxa"/>
          </w:tcPr>
          <w:p w:rsidR="00475E25" w:rsidRPr="00F247B9" w:rsidRDefault="00475E25" w:rsidP="009F5F58">
            <w:pPr>
              <w:jc w:val="center"/>
            </w:pPr>
          </w:p>
        </w:tc>
        <w:tc>
          <w:tcPr>
            <w:tcW w:w="2268" w:type="dxa"/>
          </w:tcPr>
          <w:p w:rsidR="00475E25" w:rsidRDefault="00475E25" w:rsidP="009F5F58">
            <w:pPr>
              <w:jc w:val="center"/>
            </w:pPr>
          </w:p>
        </w:tc>
        <w:tc>
          <w:tcPr>
            <w:tcW w:w="3453" w:type="dxa"/>
          </w:tcPr>
          <w:p w:rsidR="00475E25" w:rsidRDefault="00475E25" w:rsidP="009F5F58">
            <w:pPr>
              <w:jc w:val="center"/>
            </w:pPr>
          </w:p>
        </w:tc>
      </w:tr>
    </w:tbl>
    <w:p w:rsidR="00475E25" w:rsidRPr="00766613" w:rsidRDefault="00475E25" w:rsidP="00475E25">
      <w:pPr>
        <w:rPr>
          <w:b/>
          <w:sz w:val="16"/>
          <w:szCs w:val="16"/>
        </w:rPr>
      </w:pPr>
    </w:p>
    <w:p w:rsidR="00475E25" w:rsidRPr="00783D5C" w:rsidRDefault="00475E25" w:rsidP="00475E25">
      <w:pPr>
        <w:rPr>
          <w:b/>
          <w:sz w:val="22"/>
          <w:szCs w:val="22"/>
        </w:rPr>
      </w:pPr>
      <w:r w:rsidRPr="00783D5C">
        <w:rPr>
          <w:b/>
          <w:sz w:val="22"/>
          <w:szCs w:val="22"/>
        </w:rPr>
        <w:t>Tinkamiausiu pripažintas tiekėjas:</w:t>
      </w:r>
      <w:r w:rsidRPr="00B10CDE">
        <w:rPr>
          <w:sz w:val="22"/>
          <w:szCs w:val="22"/>
        </w:rPr>
        <w:t>........................................................................................................................................................................................................</w:t>
      </w:r>
      <w:r>
        <w:rPr>
          <w:sz w:val="22"/>
          <w:szCs w:val="22"/>
        </w:rPr>
        <w:t>......................</w:t>
      </w:r>
    </w:p>
    <w:p w:rsidR="00475E25" w:rsidRDefault="00475E25" w:rsidP="00475E25">
      <w:r w:rsidRPr="00783D5C">
        <w:rPr>
          <w:b/>
        </w:rPr>
        <w:t>Jei įvertinti mažiau nei 3 tiekėjų siūlymai, to priežastys:</w:t>
      </w:r>
      <w:r w:rsidRPr="00B10CDE">
        <w:t>.................................................................................................................................................................... ....................................................................................................................................................................................................................................................................</w:t>
      </w:r>
    </w:p>
    <w:p w:rsidR="00475E25" w:rsidRPr="00476CF1" w:rsidRDefault="00475E25" w:rsidP="00475E25">
      <w:pPr>
        <w:rPr>
          <w:b/>
          <w:sz w:val="22"/>
          <w:szCs w:val="22"/>
        </w:rPr>
      </w:pPr>
      <w:r w:rsidRPr="00476CF1">
        <w:rPr>
          <w:b/>
        </w:rPr>
        <w:t>Pirkimų organizatorius</w:t>
      </w:r>
      <w:r w:rsidRPr="00F247B9">
        <w:t xml:space="preserve">: </w:t>
      </w:r>
      <w:r>
        <w:tab/>
      </w:r>
      <w:r w:rsidRPr="00B10CDE">
        <w:rPr>
          <w:b/>
        </w:rPr>
        <w:t>......................................................</w:t>
      </w:r>
      <w:r w:rsidRPr="00B10CDE">
        <w:rPr>
          <w:b/>
        </w:rPr>
        <w:tab/>
      </w:r>
      <w:r w:rsidRPr="00B10CDE">
        <w:rPr>
          <w:b/>
        </w:rPr>
        <w:tab/>
        <w:t>...........................</w:t>
      </w:r>
      <w:r w:rsidRPr="00B10CDE">
        <w:rPr>
          <w:b/>
        </w:rPr>
        <w:tab/>
        <w:t>..........................................</w:t>
      </w:r>
      <w:r>
        <w:rPr>
          <w:b/>
        </w:rPr>
        <w:t xml:space="preserve">  </w:t>
      </w:r>
      <w:r w:rsidRPr="00B10CDE">
        <w:rPr>
          <w:b/>
        </w:rPr>
        <w:tab/>
        <w:t>......................</w:t>
      </w:r>
    </w:p>
    <w:p w:rsidR="00475E25" w:rsidRPr="00CD3D5D" w:rsidRDefault="00475E25" w:rsidP="00475E25">
      <w:pPr>
        <w:rPr>
          <w:sz w:val="16"/>
          <w:szCs w:val="16"/>
        </w:rPr>
      </w:pPr>
      <w:r>
        <w:rPr>
          <w:sz w:val="16"/>
        </w:rPr>
        <w:tab/>
      </w:r>
      <w:r w:rsidR="00A00984">
        <w:rPr>
          <w:sz w:val="16"/>
        </w:rPr>
        <w:tab/>
        <w:t xml:space="preserve">                    </w:t>
      </w:r>
      <w:r>
        <w:rPr>
          <w:sz w:val="16"/>
        </w:rPr>
        <w:t xml:space="preserve">   </w:t>
      </w:r>
      <w:r w:rsidRPr="00026F80">
        <w:rPr>
          <w:sz w:val="16"/>
          <w:szCs w:val="16"/>
        </w:rPr>
        <w:t>(pareigos)</w:t>
      </w:r>
      <w:r w:rsidRPr="00026F80">
        <w:rPr>
          <w:sz w:val="16"/>
          <w:szCs w:val="16"/>
        </w:rPr>
        <w:tab/>
        <w:t xml:space="preserve">                                </w:t>
      </w:r>
      <w:r>
        <w:rPr>
          <w:sz w:val="16"/>
          <w:szCs w:val="16"/>
        </w:rPr>
        <w:t xml:space="preserve">                                             </w:t>
      </w:r>
      <w:r w:rsidRPr="00026F80">
        <w:rPr>
          <w:sz w:val="16"/>
          <w:szCs w:val="16"/>
        </w:rPr>
        <w:t xml:space="preserve">  (parašas)                      </w:t>
      </w:r>
      <w:r>
        <w:rPr>
          <w:sz w:val="16"/>
          <w:szCs w:val="16"/>
        </w:rPr>
        <w:t xml:space="preserve">                             </w:t>
      </w:r>
      <w:r w:rsidRPr="00026F80">
        <w:rPr>
          <w:sz w:val="16"/>
          <w:szCs w:val="16"/>
        </w:rPr>
        <w:t xml:space="preserve">       (vardas, pavardė)                            </w:t>
      </w:r>
      <w:r>
        <w:rPr>
          <w:sz w:val="16"/>
          <w:szCs w:val="16"/>
        </w:rPr>
        <w:t xml:space="preserve">                          </w:t>
      </w:r>
      <w:r w:rsidRPr="00026F80">
        <w:rPr>
          <w:sz w:val="16"/>
          <w:szCs w:val="16"/>
        </w:rPr>
        <w:t xml:space="preserve">      (data)                </w:t>
      </w:r>
      <w:r w:rsidRPr="00026F80">
        <w:rPr>
          <w:sz w:val="16"/>
          <w:szCs w:val="16"/>
        </w:rPr>
        <w:tab/>
      </w:r>
      <w:r w:rsidRPr="00026F80">
        <w:rPr>
          <w:sz w:val="16"/>
          <w:szCs w:val="16"/>
        </w:rPr>
        <w:tab/>
      </w:r>
    </w:p>
    <w:sectPr w:rsidR="00475E25" w:rsidRPr="00CD3D5D" w:rsidSect="00475E25">
      <w:pgSz w:w="16838" w:h="11906" w:orient="landscape" w:code="9"/>
      <w:pgMar w:top="284" w:right="516" w:bottom="0" w:left="601" w:header="567" w:footer="567" w:gutter="0"/>
      <w:cols w:space="1296"/>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726F" w:rsidRDefault="00FE726F" w:rsidP="00E0687C">
      <w:r>
        <w:separator/>
      </w:r>
    </w:p>
  </w:endnote>
  <w:endnote w:type="continuationSeparator" w:id="1">
    <w:p w:rsidR="00FE726F" w:rsidRDefault="00FE726F" w:rsidP="00E06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E25" w:rsidRDefault="009167E8" w:rsidP="00A75F4A">
    <w:pPr>
      <w:pStyle w:val="Footer"/>
      <w:framePr w:wrap="around" w:vAnchor="text" w:hAnchor="margin" w:xAlign="right" w:y="1"/>
      <w:rPr>
        <w:rStyle w:val="PageNumber"/>
      </w:rPr>
    </w:pPr>
    <w:r>
      <w:rPr>
        <w:rStyle w:val="PageNumber"/>
        <w:rFonts w:eastAsiaTheme="majorEastAsia"/>
      </w:rPr>
      <w:fldChar w:fldCharType="begin"/>
    </w:r>
    <w:r w:rsidR="00475E25">
      <w:rPr>
        <w:rStyle w:val="PageNumber"/>
        <w:rFonts w:eastAsiaTheme="majorEastAsia"/>
      </w:rPr>
      <w:instrText xml:space="preserve">PAGE  </w:instrText>
    </w:r>
    <w:r>
      <w:rPr>
        <w:rStyle w:val="PageNumber"/>
        <w:rFonts w:eastAsiaTheme="majorEastAsia"/>
      </w:rPr>
      <w:fldChar w:fldCharType="end"/>
    </w:r>
  </w:p>
  <w:p w:rsidR="00475E25" w:rsidRDefault="00475E25" w:rsidP="00A75F4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E25" w:rsidRDefault="00475E25" w:rsidP="00A75F4A">
    <w:pPr>
      <w:pStyle w:val="Footer"/>
      <w:framePr w:wrap="around" w:vAnchor="text" w:hAnchor="margin" w:xAlign="right" w:y="1"/>
      <w:rPr>
        <w:rStyle w:val="PageNumber"/>
      </w:rPr>
    </w:pPr>
  </w:p>
  <w:p w:rsidR="00475E25" w:rsidRDefault="00475E25" w:rsidP="00A75F4A">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726F" w:rsidRDefault="00FE726F" w:rsidP="00E0687C">
      <w:r>
        <w:separator/>
      </w:r>
    </w:p>
  </w:footnote>
  <w:footnote w:type="continuationSeparator" w:id="1">
    <w:p w:rsidR="00FE726F" w:rsidRDefault="00FE726F" w:rsidP="00E068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3DE5" w:rsidRDefault="009167E8" w:rsidP="00693CB5">
    <w:pPr>
      <w:pStyle w:val="Header"/>
      <w:framePr w:wrap="around" w:vAnchor="text" w:hAnchor="margin" w:xAlign="center" w:y="1"/>
      <w:rPr>
        <w:rStyle w:val="PageNumber"/>
      </w:rPr>
    </w:pPr>
    <w:r>
      <w:rPr>
        <w:rStyle w:val="PageNumber"/>
        <w:rFonts w:eastAsiaTheme="majorEastAsia"/>
      </w:rPr>
      <w:fldChar w:fldCharType="begin"/>
    </w:r>
    <w:r w:rsidR="00C33DE5">
      <w:rPr>
        <w:rStyle w:val="PageNumber"/>
        <w:rFonts w:eastAsiaTheme="majorEastAsia"/>
      </w:rPr>
      <w:instrText xml:space="preserve">PAGE  </w:instrText>
    </w:r>
    <w:r>
      <w:rPr>
        <w:rStyle w:val="PageNumber"/>
        <w:rFonts w:eastAsiaTheme="majorEastAsia"/>
      </w:rPr>
      <w:fldChar w:fldCharType="end"/>
    </w:r>
  </w:p>
  <w:p w:rsidR="00C33DE5" w:rsidRDefault="00C33DE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3DE5" w:rsidRDefault="009167E8" w:rsidP="00693CB5">
    <w:pPr>
      <w:pStyle w:val="Header"/>
      <w:framePr w:wrap="around" w:vAnchor="text" w:hAnchor="margin" w:xAlign="center" w:y="1"/>
      <w:rPr>
        <w:rStyle w:val="PageNumber"/>
      </w:rPr>
    </w:pPr>
    <w:r>
      <w:rPr>
        <w:rStyle w:val="PageNumber"/>
        <w:rFonts w:eastAsiaTheme="majorEastAsia"/>
      </w:rPr>
      <w:fldChar w:fldCharType="begin"/>
    </w:r>
    <w:r w:rsidR="00C33DE5">
      <w:rPr>
        <w:rStyle w:val="PageNumber"/>
        <w:rFonts w:eastAsiaTheme="majorEastAsia"/>
      </w:rPr>
      <w:instrText xml:space="preserve">PAGE  </w:instrText>
    </w:r>
    <w:r>
      <w:rPr>
        <w:rStyle w:val="PageNumber"/>
        <w:rFonts w:eastAsiaTheme="majorEastAsia"/>
      </w:rPr>
      <w:fldChar w:fldCharType="separate"/>
    </w:r>
    <w:r w:rsidR="00515C8D">
      <w:rPr>
        <w:rStyle w:val="PageNumber"/>
        <w:rFonts w:eastAsiaTheme="majorEastAsia"/>
        <w:noProof/>
      </w:rPr>
      <w:t>8</w:t>
    </w:r>
    <w:r>
      <w:rPr>
        <w:rStyle w:val="PageNumber"/>
        <w:rFonts w:eastAsiaTheme="majorEastAsia"/>
      </w:rPr>
      <w:fldChar w:fldCharType="end"/>
    </w:r>
  </w:p>
  <w:p w:rsidR="00C33DE5" w:rsidRDefault="00C33DE5">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E25" w:rsidRDefault="009167E8" w:rsidP="00A75F4A">
    <w:pPr>
      <w:pStyle w:val="Header"/>
      <w:framePr w:wrap="around" w:vAnchor="text" w:hAnchor="margin" w:xAlign="center" w:y="1"/>
      <w:rPr>
        <w:rStyle w:val="PageNumber"/>
      </w:rPr>
    </w:pPr>
    <w:r>
      <w:rPr>
        <w:rStyle w:val="PageNumber"/>
        <w:rFonts w:eastAsiaTheme="majorEastAsia"/>
      </w:rPr>
      <w:fldChar w:fldCharType="begin"/>
    </w:r>
    <w:r w:rsidR="00475E25">
      <w:rPr>
        <w:rStyle w:val="PageNumber"/>
        <w:rFonts w:eastAsiaTheme="majorEastAsia"/>
      </w:rPr>
      <w:instrText xml:space="preserve">PAGE  </w:instrText>
    </w:r>
    <w:r>
      <w:rPr>
        <w:rStyle w:val="PageNumber"/>
        <w:rFonts w:eastAsiaTheme="majorEastAsia"/>
      </w:rPr>
      <w:fldChar w:fldCharType="end"/>
    </w:r>
  </w:p>
  <w:p w:rsidR="00475E25" w:rsidRDefault="00475E25">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E25" w:rsidRDefault="009167E8" w:rsidP="00A75F4A">
    <w:pPr>
      <w:pStyle w:val="Header"/>
      <w:framePr w:wrap="around" w:vAnchor="text" w:hAnchor="margin" w:xAlign="center" w:y="1"/>
      <w:jc w:val="center"/>
      <w:rPr>
        <w:rStyle w:val="PageNumber"/>
      </w:rPr>
    </w:pPr>
    <w:r>
      <w:rPr>
        <w:rStyle w:val="PageNumber"/>
        <w:rFonts w:eastAsiaTheme="majorEastAsia"/>
      </w:rPr>
      <w:fldChar w:fldCharType="begin"/>
    </w:r>
    <w:r w:rsidR="00475E25">
      <w:rPr>
        <w:rStyle w:val="PageNumber"/>
        <w:rFonts w:eastAsiaTheme="majorEastAsia"/>
      </w:rPr>
      <w:instrText xml:space="preserve">PAGE  </w:instrText>
    </w:r>
    <w:r>
      <w:rPr>
        <w:rStyle w:val="PageNumber"/>
        <w:rFonts w:eastAsiaTheme="majorEastAsia"/>
      </w:rPr>
      <w:fldChar w:fldCharType="separate"/>
    </w:r>
    <w:r w:rsidR="00515C8D">
      <w:rPr>
        <w:rStyle w:val="PageNumber"/>
        <w:rFonts w:eastAsiaTheme="majorEastAsia"/>
        <w:noProof/>
      </w:rPr>
      <w:t>12</w:t>
    </w:r>
    <w:r>
      <w:rPr>
        <w:rStyle w:val="PageNumber"/>
        <w:rFonts w:eastAsiaTheme="majorEastAsia"/>
      </w:rPr>
      <w:fldChar w:fldCharType="end"/>
    </w:r>
  </w:p>
  <w:p w:rsidR="00475E25" w:rsidRDefault="00475E25" w:rsidP="00A75F4A">
    <w:pPr>
      <w:pStyle w:val="Header"/>
      <w:framePr w:wrap="around" w:vAnchor="text" w:hAnchor="margin" w:xAlign="center" w:y="1"/>
      <w:rPr>
        <w:rStyle w:val="PageNumber"/>
      </w:rPr>
    </w:pPr>
  </w:p>
  <w:p w:rsidR="00475E25" w:rsidRDefault="00475E25" w:rsidP="00A75F4A">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E4427C1"/>
    <w:multiLevelType w:val="hybridMultilevel"/>
    <w:tmpl w:val="4398961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31F4B"/>
    <w:multiLevelType w:val="multilevel"/>
    <w:tmpl w:val="94F02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5A19AE"/>
    <w:multiLevelType w:val="hybridMultilevel"/>
    <w:tmpl w:val="D72C6892"/>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5">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6">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DD4754"/>
    <w:multiLevelType w:val="hybridMultilevel"/>
    <w:tmpl w:val="3E081114"/>
    <w:lvl w:ilvl="0" w:tplc="A1C463CA">
      <w:start w:val="1"/>
      <w:numFmt w:val="upperRoman"/>
      <w:pStyle w:val="Heading1"/>
      <w:lvlText w:val="%1."/>
      <w:lvlJc w:val="left"/>
      <w:pPr>
        <w:tabs>
          <w:tab w:val="num" w:pos="1080"/>
        </w:tabs>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footnotePr>
    <w:footnote w:id="0"/>
    <w:footnote w:id="1"/>
  </w:footnotePr>
  <w:endnotePr>
    <w:endnote w:id="0"/>
    <w:endnote w:id="1"/>
  </w:endnotePr>
  <w:compat/>
  <w:rsids>
    <w:rsidRoot w:val="00345522"/>
    <w:rsid w:val="00027C74"/>
    <w:rsid w:val="000D0872"/>
    <w:rsid w:val="000F0B12"/>
    <w:rsid w:val="000F4351"/>
    <w:rsid w:val="000F454E"/>
    <w:rsid w:val="00161360"/>
    <w:rsid w:val="001E2345"/>
    <w:rsid w:val="001F2B53"/>
    <w:rsid w:val="00205446"/>
    <w:rsid w:val="00222729"/>
    <w:rsid w:val="00242888"/>
    <w:rsid w:val="00266395"/>
    <w:rsid w:val="002F3664"/>
    <w:rsid w:val="00345522"/>
    <w:rsid w:val="00361D7D"/>
    <w:rsid w:val="003B5F92"/>
    <w:rsid w:val="003C6393"/>
    <w:rsid w:val="00402C81"/>
    <w:rsid w:val="0044196B"/>
    <w:rsid w:val="00443559"/>
    <w:rsid w:val="00475E25"/>
    <w:rsid w:val="0048214B"/>
    <w:rsid w:val="00485390"/>
    <w:rsid w:val="0049324D"/>
    <w:rsid w:val="00515C8D"/>
    <w:rsid w:val="00530E72"/>
    <w:rsid w:val="00534BD2"/>
    <w:rsid w:val="00535570"/>
    <w:rsid w:val="005506D5"/>
    <w:rsid w:val="00567740"/>
    <w:rsid w:val="0059451A"/>
    <w:rsid w:val="005A1582"/>
    <w:rsid w:val="005D2AA9"/>
    <w:rsid w:val="005E4984"/>
    <w:rsid w:val="00607784"/>
    <w:rsid w:val="00693CB5"/>
    <w:rsid w:val="007B2F51"/>
    <w:rsid w:val="007F1F48"/>
    <w:rsid w:val="00881E20"/>
    <w:rsid w:val="008960FD"/>
    <w:rsid w:val="009167E8"/>
    <w:rsid w:val="00924EAA"/>
    <w:rsid w:val="00951813"/>
    <w:rsid w:val="009573EA"/>
    <w:rsid w:val="00970418"/>
    <w:rsid w:val="00997299"/>
    <w:rsid w:val="009A2609"/>
    <w:rsid w:val="009A4666"/>
    <w:rsid w:val="009D75E4"/>
    <w:rsid w:val="009F461D"/>
    <w:rsid w:val="00A00984"/>
    <w:rsid w:val="00A37206"/>
    <w:rsid w:val="00A74CE7"/>
    <w:rsid w:val="00B36611"/>
    <w:rsid w:val="00B74178"/>
    <w:rsid w:val="00BE0D1F"/>
    <w:rsid w:val="00BE7536"/>
    <w:rsid w:val="00C33DE5"/>
    <w:rsid w:val="00D30BBA"/>
    <w:rsid w:val="00D54629"/>
    <w:rsid w:val="00D86229"/>
    <w:rsid w:val="00D87526"/>
    <w:rsid w:val="00DA01AA"/>
    <w:rsid w:val="00DD17E5"/>
    <w:rsid w:val="00E01F8A"/>
    <w:rsid w:val="00E0687C"/>
    <w:rsid w:val="00E23F54"/>
    <w:rsid w:val="00E35D80"/>
    <w:rsid w:val="00E63BE1"/>
    <w:rsid w:val="00E85222"/>
    <w:rsid w:val="00EA189D"/>
    <w:rsid w:val="00F4566D"/>
    <w:rsid w:val="00FA4364"/>
    <w:rsid w:val="00FE5F0F"/>
    <w:rsid w:val="00FE726F"/>
  </w:rsids>
  <m:mathPr>
    <m:mathFont m:val="TimesLT"/>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2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autoRedefine/>
    <w:qFormat/>
    <w:rsid w:val="00C33DE5"/>
    <w:pPr>
      <w:keepNext/>
      <w:keepLines/>
      <w:numPr>
        <w:numId w:val="9"/>
      </w:numPr>
      <w:spacing w:before="480"/>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493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45522"/>
    <w:pPr>
      <w:spacing w:before="50"/>
      <w:ind w:left="-436" w:firstLine="720"/>
      <w:jc w:val="both"/>
      <w:outlineLvl w:val="2"/>
    </w:pPr>
    <w:rPr>
      <w:szCs w:val="20"/>
      <w:lang w:eastAsia="en-US"/>
    </w:rPr>
  </w:style>
  <w:style w:type="paragraph" w:styleId="Heading4">
    <w:name w:val="heading 4"/>
    <w:aliases w:val="Heading 4 Char Char Char Char"/>
    <w:basedOn w:val="Normal"/>
    <w:link w:val="Heading4Char"/>
    <w:qFormat/>
    <w:rsid w:val="00345522"/>
    <w:pPr>
      <w:ind w:left="-436" w:firstLine="720"/>
      <w:jc w:val="both"/>
      <w:outlineLvl w:val="3"/>
    </w:pPr>
    <w:rPr>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33DE5"/>
    <w:rPr>
      <w:rFonts w:ascii="Times New Roman" w:eastAsiaTheme="majorEastAsia" w:hAnsi="Times New Roman" w:cstheme="majorBidi"/>
      <w:b/>
      <w:bCs/>
      <w:sz w:val="24"/>
      <w:szCs w:val="28"/>
      <w:lang w:eastAsia="ru-RU"/>
    </w:rPr>
  </w:style>
  <w:style w:type="character" w:customStyle="1" w:styleId="Heading2Char">
    <w:name w:val="Heading 2 Char"/>
    <w:basedOn w:val="DefaultParagraphFont"/>
    <w:link w:val="Heading2"/>
    <w:rsid w:val="004932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493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3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32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324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324D"/>
    <w:pPr>
      <w:spacing w:after="0" w:line="240" w:lineRule="auto"/>
    </w:pPr>
  </w:style>
  <w:style w:type="character" w:styleId="SubtleEmphasis">
    <w:name w:val="Subtle Emphasis"/>
    <w:basedOn w:val="DefaultParagraphFont"/>
    <w:uiPriority w:val="19"/>
    <w:qFormat/>
    <w:rsid w:val="0049324D"/>
    <w:rPr>
      <w:i/>
      <w:iCs/>
      <w:color w:val="808080" w:themeColor="text1" w:themeTint="7F"/>
    </w:rPr>
  </w:style>
  <w:style w:type="paragraph" w:styleId="BalloonText">
    <w:name w:val="Balloon Text"/>
    <w:basedOn w:val="Normal"/>
    <w:link w:val="BalloonTextChar"/>
    <w:uiPriority w:val="99"/>
    <w:semiHidden/>
    <w:unhideWhenUsed/>
    <w:rsid w:val="00345522"/>
    <w:rPr>
      <w:rFonts w:ascii="Tahoma" w:hAnsi="Tahoma" w:cs="Tahoma"/>
      <w:sz w:val="16"/>
      <w:szCs w:val="16"/>
    </w:rPr>
  </w:style>
  <w:style w:type="character" w:customStyle="1" w:styleId="BalloonTextChar">
    <w:name w:val="Balloon Text Char"/>
    <w:basedOn w:val="DefaultParagraphFont"/>
    <w:link w:val="BalloonText"/>
    <w:uiPriority w:val="99"/>
    <w:semiHidden/>
    <w:rsid w:val="00345522"/>
    <w:rPr>
      <w:rFonts w:ascii="Tahoma" w:hAnsi="Tahoma" w:cs="Tahoma"/>
      <w:sz w:val="16"/>
      <w:szCs w:val="16"/>
    </w:rPr>
  </w:style>
  <w:style w:type="character" w:customStyle="1" w:styleId="Heading3Char">
    <w:name w:val="Heading 3 Char"/>
    <w:basedOn w:val="DefaultParagraphFont"/>
    <w:link w:val="Heading3"/>
    <w:rsid w:val="00345522"/>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345522"/>
    <w:rPr>
      <w:rFonts w:ascii="Times New Roman" w:eastAsia="Times New Roman" w:hAnsi="Times New Roman" w:cs="Times New Roman"/>
      <w:sz w:val="24"/>
      <w:szCs w:val="20"/>
    </w:rPr>
  </w:style>
  <w:style w:type="paragraph" w:styleId="Header">
    <w:name w:val="header"/>
    <w:basedOn w:val="Normal"/>
    <w:link w:val="HeaderChar"/>
    <w:rsid w:val="00345522"/>
    <w:pPr>
      <w:tabs>
        <w:tab w:val="center" w:pos="4677"/>
        <w:tab w:val="right" w:pos="9355"/>
      </w:tabs>
    </w:pPr>
  </w:style>
  <w:style w:type="character" w:customStyle="1" w:styleId="HeaderChar">
    <w:name w:val="Header Char"/>
    <w:basedOn w:val="DefaultParagraphFont"/>
    <w:link w:val="Header"/>
    <w:rsid w:val="00345522"/>
    <w:rPr>
      <w:rFonts w:ascii="Times New Roman" w:eastAsia="Times New Roman" w:hAnsi="Times New Roman" w:cs="Times New Roman"/>
      <w:sz w:val="24"/>
      <w:szCs w:val="24"/>
      <w:lang w:eastAsia="ru-RU"/>
    </w:rPr>
  </w:style>
  <w:style w:type="character" w:styleId="PageNumber">
    <w:name w:val="page number"/>
    <w:basedOn w:val="DefaultParagraphFont"/>
    <w:rsid w:val="00345522"/>
  </w:style>
  <w:style w:type="paragraph" w:styleId="Footer">
    <w:name w:val="footer"/>
    <w:basedOn w:val="Normal"/>
    <w:link w:val="FooterChar"/>
    <w:rsid w:val="00345522"/>
    <w:pPr>
      <w:tabs>
        <w:tab w:val="center" w:pos="4677"/>
        <w:tab w:val="right" w:pos="9355"/>
      </w:tabs>
    </w:pPr>
  </w:style>
  <w:style w:type="character" w:customStyle="1" w:styleId="FooterChar">
    <w:name w:val="Footer Char"/>
    <w:basedOn w:val="DefaultParagraphFont"/>
    <w:link w:val="Footer"/>
    <w:rsid w:val="00345522"/>
    <w:rPr>
      <w:rFonts w:ascii="Times New Roman" w:eastAsia="Times New Roman" w:hAnsi="Times New Roman" w:cs="Times New Roman"/>
      <w:sz w:val="24"/>
      <w:szCs w:val="24"/>
      <w:lang w:eastAsia="ru-RU"/>
    </w:rPr>
  </w:style>
  <w:style w:type="paragraph" w:customStyle="1" w:styleId="NumPar1">
    <w:name w:val="NumPar 1"/>
    <w:basedOn w:val="Normal"/>
    <w:next w:val="Normal"/>
    <w:rsid w:val="00345522"/>
    <w:pPr>
      <w:tabs>
        <w:tab w:val="num" w:pos="360"/>
      </w:tabs>
      <w:spacing w:before="120" w:after="120"/>
      <w:jc w:val="both"/>
    </w:pPr>
    <w:rPr>
      <w:szCs w:val="20"/>
      <w:lang w:eastAsia="en-US"/>
    </w:rPr>
  </w:style>
  <w:style w:type="paragraph" w:styleId="BodyText">
    <w:name w:val="Body Text"/>
    <w:basedOn w:val="Normal"/>
    <w:link w:val="BodyTextChar"/>
    <w:rsid w:val="00345522"/>
    <w:pPr>
      <w:jc w:val="both"/>
    </w:pPr>
    <w:rPr>
      <w:strike/>
      <w:szCs w:val="20"/>
      <w:lang w:eastAsia="en-US"/>
    </w:rPr>
  </w:style>
  <w:style w:type="character" w:customStyle="1" w:styleId="BodyTextChar">
    <w:name w:val="Body Text Char"/>
    <w:basedOn w:val="DefaultParagraphFont"/>
    <w:link w:val="BodyText"/>
    <w:rsid w:val="00345522"/>
    <w:rPr>
      <w:rFonts w:ascii="Times New Roman" w:eastAsia="Times New Roman" w:hAnsi="Times New Roman" w:cs="Times New Roman"/>
      <w:strike/>
      <w:sz w:val="24"/>
      <w:szCs w:val="20"/>
    </w:rPr>
  </w:style>
  <w:style w:type="character" w:styleId="Hyperlink">
    <w:name w:val="Hyperlink"/>
    <w:rsid w:val="00345522"/>
    <w:rPr>
      <w:color w:val="0000FF"/>
      <w:u w:val="single"/>
    </w:rPr>
  </w:style>
  <w:style w:type="table" w:styleId="TableGrid">
    <w:name w:val="Table Grid"/>
    <w:basedOn w:val="TableNormal"/>
    <w:rsid w:val="003455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45522"/>
    <w:pPr>
      <w:spacing w:after="120" w:line="480" w:lineRule="auto"/>
      <w:ind w:left="283"/>
    </w:pPr>
    <w:rPr>
      <w:lang w:val="ru-RU"/>
    </w:rPr>
  </w:style>
  <w:style w:type="character" w:customStyle="1" w:styleId="BodyTextIndent2Char">
    <w:name w:val="Body Text Indent 2 Char"/>
    <w:basedOn w:val="DefaultParagraphFont"/>
    <w:link w:val="BodyTextIndent2"/>
    <w:rsid w:val="00345522"/>
    <w:rPr>
      <w:rFonts w:ascii="Times New Roman" w:eastAsia="Times New Roman" w:hAnsi="Times New Roman" w:cs="Times New Roman"/>
      <w:sz w:val="24"/>
      <w:szCs w:val="24"/>
      <w:lang w:val="ru-RU" w:eastAsia="ru-RU"/>
    </w:rPr>
  </w:style>
  <w:style w:type="paragraph" w:customStyle="1" w:styleId="bodytext0">
    <w:name w:val="bodytext"/>
    <w:basedOn w:val="Normal"/>
    <w:rsid w:val="00345522"/>
    <w:pPr>
      <w:spacing w:before="100" w:after="100"/>
    </w:pPr>
    <w:rPr>
      <w:lang w:val="en-US" w:eastAsia="en-US"/>
    </w:rPr>
  </w:style>
  <w:style w:type="paragraph" w:customStyle="1" w:styleId="centrbold">
    <w:name w:val="centrbold"/>
    <w:basedOn w:val="Normal"/>
    <w:rsid w:val="00345522"/>
    <w:pPr>
      <w:spacing w:before="100" w:after="100"/>
    </w:pPr>
    <w:rPr>
      <w:lang w:val="en-US" w:eastAsia="en-US"/>
    </w:rPr>
  </w:style>
  <w:style w:type="paragraph" w:customStyle="1" w:styleId="Hyperlink3">
    <w:name w:val="Hyperlink3"/>
    <w:basedOn w:val="Normal"/>
    <w:rsid w:val="00345522"/>
    <w:pPr>
      <w:ind w:firstLine="720"/>
      <w:jc w:val="both"/>
    </w:pPr>
    <w:rPr>
      <w:szCs w:val="20"/>
      <w:lang w:eastAsia="en-US"/>
    </w:rPr>
  </w:style>
  <w:style w:type="paragraph" w:customStyle="1" w:styleId="Pagrindinistekstas1">
    <w:name w:val="Pagrindinis tekstas1"/>
    <w:rsid w:val="0034552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NormalWeb">
    <w:name w:val="Normal (Web)"/>
    <w:basedOn w:val="Normal"/>
    <w:unhideWhenUsed/>
    <w:rsid w:val="00345522"/>
    <w:pPr>
      <w:spacing w:before="100" w:beforeAutospacing="1" w:after="100" w:afterAutospacing="1"/>
    </w:pPr>
    <w:rPr>
      <w:lang w:eastAsia="lt-LT"/>
    </w:rPr>
  </w:style>
  <w:style w:type="paragraph" w:styleId="BodyTextIndent">
    <w:name w:val="Body Text Indent"/>
    <w:basedOn w:val="Normal"/>
    <w:link w:val="BodyTextIndentChar"/>
    <w:rsid w:val="00345522"/>
    <w:pPr>
      <w:spacing w:after="120"/>
      <w:ind w:left="283"/>
    </w:pPr>
  </w:style>
  <w:style w:type="character" w:customStyle="1" w:styleId="BodyTextIndentChar">
    <w:name w:val="Body Text Indent Char"/>
    <w:basedOn w:val="DefaultParagraphFont"/>
    <w:link w:val="BodyTextIndent"/>
    <w:rsid w:val="00345522"/>
    <w:rPr>
      <w:rFonts w:ascii="Times New Roman" w:eastAsia="Times New Roman" w:hAnsi="Times New Roman" w:cs="Times New Roman"/>
      <w:sz w:val="24"/>
      <w:szCs w:val="24"/>
      <w:lang w:eastAsia="ru-RU"/>
    </w:rPr>
  </w:style>
  <w:style w:type="paragraph" w:customStyle="1" w:styleId="Default">
    <w:name w:val="Default"/>
    <w:rsid w:val="003455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ntrBoldm">
    <w:name w:val="CentrBoldm"/>
    <w:basedOn w:val="Normal"/>
    <w:rsid w:val="00345522"/>
    <w:pPr>
      <w:autoSpaceDE w:val="0"/>
      <w:autoSpaceDN w:val="0"/>
      <w:adjustRightInd w:val="0"/>
      <w:jc w:val="center"/>
    </w:pPr>
    <w:rPr>
      <w:rFonts w:ascii="TimesLT" w:hAnsi="TimesLT"/>
      <w:b/>
      <w:bCs/>
      <w:sz w:val="20"/>
      <w:szCs w:val="20"/>
      <w:lang w:val="en-US" w:eastAsia="en-US"/>
    </w:rPr>
  </w:style>
  <w:style w:type="paragraph" w:customStyle="1" w:styleId="CentrBold0">
    <w:name w:val="CentrBold"/>
    <w:rsid w:val="009D75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Bodytext1">
    <w:name w:val="Body text"/>
    <w:rsid w:val="009D75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rsid w:val="009D75E4"/>
    <w:rPr>
      <w:sz w:val="20"/>
      <w:szCs w:val="20"/>
      <w:lang w:eastAsia="en-US"/>
    </w:rPr>
  </w:style>
  <w:style w:type="character" w:customStyle="1" w:styleId="CommentTextChar">
    <w:name w:val="Comment Text Char"/>
    <w:basedOn w:val="DefaultParagraphFont"/>
    <w:link w:val="CommentText"/>
    <w:rsid w:val="009D75E4"/>
    <w:rPr>
      <w:rFonts w:ascii="Times New Roman" w:eastAsia="Times New Roman" w:hAnsi="Times New Roman" w:cs="Times New Roman"/>
      <w:sz w:val="20"/>
      <w:szCs w:val="20"/>
    </w:rPr>
  </w:style>
  <w:style w:type="paragraph" w:customStyle="1" w:styleId="Turinys">
    <w:name w:val="Turinys"/>
    <w:basedOn w:val="Normal"/>
    <w:autoRedefine/>
    <w:rsid w:val="009D75E4"/>
    <w:pPr>
      <w:keepNext/>
      <w:jc w:val="center"/>
    </w:pPr>
    <w:rPr>
      <w:b/>
      <w:caps/>
      <w:kern w:val="32"/>
      <w:lang w:eastAsia="en-US"/>
    </w:rPr>
  </w:style>
  <w:style w:type="paragraph" w:styleId="ListParagraph">
    <w:name w:val="List Paragraph"/>
    <w:basedOn w:val="Normal"/>
    <w:uiPriority w:val="34"/>
    <w:qFormat/>
    <w:rsid w:val="008960FD"/>
    <w:pPr>
      <w:ind w:left="720"/>
      <w:contextualSpacing/>
    </w:pPr>
  </w:style>
  <w:style w:type="paragraph" w:styleId="TOCHeading">
    <w:name w:val="TOC Heading"/>
    <w:basedOn w:val="Heading1"/>
    <w:next w:val="Normal"/>
    <w:uiPriority w:val="39"/>
    <w:unhideWhenUsed/>
    <w:qFormat/>
    <w:rsid w:val="00C33DE5"/>
    <w:pPr>
      <w:spacing w:line="276" w:lineRule="auto"/>
      <w:outlineLvl w:val="9"/>
    </w:pPr>
    <w:rPr>
      <w:lang w:val="en-US" w:eastAsia="en-US"/>
    </w:rPr>
  </w:style>
  <w:style w:type="paragraph" w:styleId="TOC3">
    <w:name w:val="toc 3"/>
    <w:basedOn w:val="Normal"/>
    <w:next w:val="Normal"/>
    <w:autoRedefine/>
    <w:uiPriority w:val="39"/>
    <w:unhideWhenUsed/>
    <w:rsid w:val="00C33DE5"/>
    <w:pPr>
      <w:ind w:left="480"/>
    </w:pPr>
    <w:rPr>
      <w:rFonts w:asciiTheme="minorHAnsi" w:hAnsiTheme="minorHAnsi"/>
      <w:sz w:val="22"/>
      <w:szCs w:val="22"/>
    </w:rPr>
  </w:style>
  <w:style w:type="paragraph" w:styleId="TOC2">
    <w:name w:val="toc 2"/>
    <w:basedOn w:val="Normal"/>
    <w:next w:val="Normal"/>
    <w:autoRedefine/>
    <w:uiPriority w:val="39"/>
    <w:unhideWhenUsed/>
    <w:rsid w:val="00C33DE5"/>
    <w:pPr>
      <w:ind w:left="240"/>
    </w:pPr>
    <w:rPr>
      <w:rFonts w:asciiTheme="minorHAnsi" w:hAnsiTheme="minorHAnsi"/>
      <w:b/>
      <w:sz w:val="22"/>
      <w:szCs w:val="22"/>
    </w:rPr>
  </w:style>
  <w:style w:type="paragraph" w:styleId="TOC1">
    <w:name w:val="toc 1"/>
    <w:basedOn w:val="Normal"/>
    <w:next w:val="Normal"/>
    <w:autoRedefine/>
    <w:uiPriority w:val="39"/>
    <w:unhideWhenUsed/>
    <w:rsid w:val="005D2AA9"/>
    <w:pPr>
      <w:tabs>
        <w:tab w:val="left" w:pos="709"/>
        <w:tab w:val="right" w:leader="dot" w:pos="9628"/>
      </w:tabs>
      <w:spacing w:before="120"/>
    </w:pPr>
    <w:rPr>
      <w:rFonts w:asciiTheme="minorHAnsi" w:hAnsiTheme="minorHAnsi"/>
      <w:b/>
    </w:rPr>
  </w:style>
  <w:style w:type="paragraph" w:styleId="TOC4">
    <w:name w:val="toc 4"/>
    <w:basedOn w:val="Normal"/>
    <w:next w:val="Normal"/>
    <w:autoRedefine/>
    <w:uiPriority w:val="39"/>
    <w:semiHidden/>
    <w:unhideWhenUsed/>
    <w:rsid w:val="00C33DE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3DE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3DE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3DE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3DE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3DE5"/>
    <w:pPr>
      <w:ind w:left="1920"/>
    </w:pPr>
    <w:rPr>
      <w:rFonts w:asciiTheme="minorHAnsi" w:hAnsiTheme="minorHAnsi"/>
      <w:sz w:val="20"/>
      <w:szCs w:val="20"/>
    </w:rPr>
  </w:style>
  <w:style w:type="paragraph" w:styleId="Caption">
    <w:name w:val="caption"/>
    <w:basedOn w:val="Normal"/>
    <w:next w:val="Normal"/>
    <w:qFormat/>
    <w:rsid w:val="00475E25"/>
    <w:pPr>
      <w:spacing w:before="120" w:after="120"/>
    </w:pPr>
    <w:rPr>
      <w:b/>
      <w:bCs/>
      <w:sz w:val="20"/>
      <w:szCs w:val="20"/>
      <w:lang w:val="en-AU" w:eastAsia="lt-L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4739</Words>
  <Characters>27016</Characters>
  <Application>Microsoft Word 12.0.0</Application>
  <DocSecurity>0</DocSecurity>
  <Lines>225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dc:creator>
  <cp:keywords/>
  <dc:description/>
  <cp:lastModifiedBy>Dominykas</cp:lastModifiedBy>
  <cp:revision>12</cp:revision>
  <cp:lastPrinted>2014-06-05T14:36:00Z</cp:lastPrinted>
  <dcterms:created xsi:type="dcterms:W3CDTF">2014-06-05T13:10:00Z</dcterms:created>
  <dcterms:modified xsi:type="dcterms:W3CDTF">2014-06-05T14:37:00Z</dcterms:modified>
</cp:coreProperties>
</file>