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6E" w:rsidRPr="006372C1" w:rsidRDefault="006D4E9E" w:rsidP="00EF5218">
      <w:pPr>
        <w:ind w:left="5102" w:firstLine="0"/>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P</w:t>
      </w:r>
      <w:r w:rsidR="002C566E" w:rsidRPr="006372C1">
        <w:rPr>
          <w:rFonts w:ascii="Times New Roman" w:hAnsi="Times New Roman" w:cs="Times New Roman"/>
          <w:color w:val="000000" w:themeColor="text1"/>
          <w:sz w:val="24"/>
        </w:rPr>
        <w:t>ATVIRTINTA</w:t>
      </w:r>
    </w:p>
    <w:p w:rsidR="002C566E" w:rsidRPr="006372C1" w:rsidRDefault="002C566E" w:rsidP="00EF5218">
      <w:pPr>
        <w:ind w:left="5102" w:firstLine="0"/>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Valstybinio socialinio draudimo fondo valdybos Utenos skyriaus direktoriaus</w:t>
      </w:r>
    </w:p>
    <w:p w:rsidR="002C566E" w:rsidRPr="006372C1" w:rsidRDefault="002C566E" w:rsidP="000F4F70">
      <w:pPr>
        <w:ind w:left="5102" w:firstLine="0"/>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201</w:t>
      </w:r>
      <w:r w:rsidR="009A0A7C" w:rsidRPr="006372C1">
        <w:rPr>
          <w:rFonts w:ascii="Times New Roman" w:hAnsi="Times New Roman" w:cs="Times New Roman"/>
          <w:color w:val="000000" w:themeColor="text1"/>
          <w:sz w:val="24"/>
        </w:rPr>
        <w:t>5</w:t>
      </w:r>
      <w:r w:rsidRPr="006372C1">
        <w:rPr>
          <w:rFonts w:ascii="Times New Roman" w:hAnsi="Times New Roman" w:cs="Times New Roman"/>
          <w:color w:val="000000" w:themeColor="text1"/>
          <w:sz w:val="24"/>
        </w:rPr>
        <w:t xml:space="preserve"> m. </w:t>
      </w:r>
      <w:r w:rsidR="009A0A7C" w:rsidRPr="006372C1">
        <w:rPr>
          <w:rFonts w:ascii="Times New Roman" w:hAnsi="Times New Roman" w:cs="Times New Roman"/>
          <w:color w:val="000000" w:themeColor="text1"/>
          <w:sz w:val="24"/>
        </w:rPr>
        <w:t>sausio</w:t>
      </w:r>
      <w:r w:rsidR="00290C6F" w:rsidRPr="006372C1">
        <w:rPr>
          <w:rFonts w:ascii="Times New Roman" w:hAnsi="Times New Roman" w:cs="Times New Roman"/>
          <w:color w:val="000000" w:themeColor="text1"/>
          <w:sz w:val="24"/>
        </w:rPr>
        <w:t xml:space="preserve">  </w:t>
      </w:r>
      <w:r w:rsidR="00877D06">
        <w:rPr>
          <w:rFonts w:ascii="Times New Roman" w:hAnsi="Times New Roman" w:cs="Times New Roman"/>
          <w:color w:val="000000" w:themeColor="text1"/>
          <w:sz w:val="24"/>
        </w:rPr>
        <w:t>27</w:t>
      </w:r>
      <w:r w:rsidR="001D1BA5" w:rsidRPr="006372C1">
        <w:rPr>
          <w:rFonts w:ascii="Times New Roman" w:hAnsi="Times New Roman" w:cs="Times New Roman"/>
          <w:color w:val="000000" w:themeColor="text1"/>
          <w:sz w:val="24"/>
        </w:rPr>
        <w:t xml:space="preserve"> </w:t>
      </w:r>
      <w:r w:rsidR="00555AE5" w:rsidRPr="006372C1">
        <w:rPr>
          <w:rFonts w:ascii="Times New Roman" w:hAnsi="Times New Roman" w:cs="Times New Roman"/>
          <w:color w:val="000000" w:themeColor="text1"/>
          <w:sz w:val="24"/>
        </w:rPr>
        <w:t xml:space="preserve"> d. </w:t>
      </w:r>
      <w:r w:rsidR="006002FD" w:rsidRPr="006372C1">
        <w:rPr>
          <w:rFonts w:ascii="Times New Roman" w:hAnsi="Times New Roman" w:cs="Times New Roman"/>
          <w:color w:val="000000" w:themeColor="text1"/>
          <w:sz w:val="24"/>
        </w:rPr>
        <w:t xml:space="preserve"> </w:t>
      </w:r>
      <w:r w:rsidR="00555AE5" w:rsidRPr="006372C1">
        <w:rPr>
          <w:rFonts w:ascii="Times New Roman" w:hAnsi="Times New Roman" w:cs="Times New Roman"/>
          <w:color w:val="000000" w:themeColor="text1"/>
          <w:sz w:val="24"/>
        </w:rPr>
        <w:t>įsakymu Nr. V</w:t>
      </w:r>
      <w:r w:rsidR="00A87832" w:rsidRPr="006372C1">
        <w:rPr>
          <w:rFonts w:ascii="Times New Roman" w:hAnsi="Times New Roman" w:cs="Times New Roman"/>
          <w:color w:val="000000" w:themeColor="text1"/>
          <w:sz w:val="24"/>
        </w:rPr>
        <w:t>E</w:t>
      </w:r>
      <w:r w:rsidR="00555AE5" w:rsidRPr="006372C1">
        <w:rPr>
          <w:rFonts w:ascii="Times New Roman" w:hAnsi="Times New Roman" w:cs="Times New Roman"/>
          <w:color w:val="000000" w:themeColor="text1"/>
          <w:sz w:val="24"/>
        </w:rPr>
        <w:t>-</w:t>
      </w:r>
      <w:r w:rsidR="00877D06">
        <w:rPr>
          <w:rFonts w:ascii="Times New Roman" w:hAnsi="Times New Roman" w:cs="Times New Roman"/>
          <w:color w:val="000000" w:themeColor="text1"/>
          <w:sz w:val="24"/>
        </w:rPr>
        <w:t>37</w:t>
      </w:r>
      <w:bookmarkStart w:id="0" w:name="_GoBack"/>
      <w:bookmarkEnd w:id="0"/>
    </w:p>
    <w:p w:rsidR="000F4F70" w:rsidRPr="006372C1" w:rsidRDefault="000F4F70" w:rsidP="000F4F70">
      <w:pPr>
        <w:ind w:left="5102" w:firstLine="0"/>
        <w:rPr>
          <w:rFonts w:ascii="Times New Roman" w:hAnsi="Times New Roman" w:cs="Times New Roman"/>
          <w:color w:val="000000" w:themeColor="text1"/>
          <w:sz w:val="24"/>
        </w:rPr>
      </w:pP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aps/>
          <w:color w:val="000000" w:themeColor="text1"/>
          <w:sz w:val="24"/>
        </w:rPr>
        <w:t>Valstybinio socialinio draudimo fondo valdybos utenos skyriaus</w:t>
      </w:r>
      <w:r w:rsidRPr="006372C1">
        <w:rPr>
          <w:rFonts w:ascii="Times New Roman" w:hAnsi="Times New Roman" w:cs="Times New Roman"/>
          <w:b/>
          <w:color w:val="000000" w:themeColor="text1"/>
          <w:sz w:val="24"/>
        </w:rPr>
        <w:t xml:space="preserve">  SUPAPRASTINTŲ VIEŠŲJŲ PIRKIMŲ TAISYKLĖS</w:t>
      </w:r>
    </w:p>
    <w:p w:rsidR="002C566E" w:rsidRPr="006372C1" w:rsidRDefault="002C566E" w:rsidP="00EF5218">
      <w:pPr>
        <w:widowControl/>
        <w:jc w:val="both"/>
        <w:rPr>
          <w:rFonts w:ascii="Times New Roman" w:hAnsi="Times New Roman" w:cs="Times New Roman"/>
          <w:color w:val="000000" w:themeColor="text1"/>
          <w:sz w:val="24"/>
        </w:rPr>
      </w:pPr>
    </w:p>
    <w:p w:rsidR="002C566E" w:rsidRPr="006372C1" w:rsidRDefault="002C566E" w:rsidP="00EF5218">
      <w:pPr>
        <w:widowControl/>
        <w:jc w:val="both"/>
        <w:rPr>
          <w:rFonts w:ascii="Times New Roman" w:hAnsi="Times New Roman" w:cs="Times New Roman"/>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I.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BENDROSIOS NUOSTATOS</w:t>
      </w:r>
    </w:p>
    <w:p w:rsidR="002C566E" w:rsidRPr="006372C1" w:rsidRDefault="002C566E" w:rsidP="00EF5218">
      <w:pPr>
        <w:widowControl/>
        <w:tabs>
          <w:tab w:val="left" w:pos="466"/>
        </w:tabs>
        <w:jc w:val="both"/>
        <w:rPr>
          <w:rFonts w:ascii="Times New Roman" w:hAnsi="Times New Roman" w:cs="Times New Roman"/>
          <w:color w:val="000000" w:themeColor="text1"/>
          <w:sz w:val="24"/>
        </w:rPr>
      </w:pPr>
    </w:p>
    <w:p w:rsidR="002C566E" w:rsidRPr="006372C1" w:rsidRDefault="002C566E" w:rsidP="00EF5218">
      <w:pPr>
        <w:widowControl/>
        <w:tabs>
          <w:tab w:val="left" w:pos="4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 Valstybinio socialinio draudimo fondo valdybos Utenos skyriaus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2C566E" w:rsidRPr="006372C1" w:rsidRDefault="002C566E" w:rsidP="00EF5218">
      <w:pPr>
        <w:widowControl/>
        <w:tabs>
          <w:tab w:val="left" w:pos="4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2. Perkančiosios organizacijos Taisyklės parengtos vadovaujantis Lietuvos Respublikos viešųjų pirkimų įstatymu (toliau – Viešųjų pirkimų įstatymas) ir kitais pirkimus reglamentuojančiais teisės aktais.</w:t>
      </w:r>
    </w:p>
    <w:p w:rsidR="002C566E" w:rsidRPr="006372C1" w:rsidRDefault="002C566E" w:rsidP="00EF5218">
      <w:pPr>
        <w:widowControl/>
        <w:tabs>
          <w:tab w:val="left" w:pos="4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 Atlikdama supaprastintus pirkimus perkančioji organizacija vadovaujasi Viešųjų pirkimų įstatymu, šiomis Taisyklėmis, Lietuvo</w:t>
      </w:r>
      <w:r w:rsidR="001C30F5" w:rsidRPr="006372C1">
        <w:rPr>
          <w:rFonts w:ascii="Times New Roman" w:hAnsi="Times New Roman" w:cs="Times New Roman"/>
          <w:color w:val="000000" w:themeColor="text1"/>
          <w:sz w:val="24"/>
        </w:rPr>
        <w:t xml:space="preserve">s Respublikos civiliniu kodeksu </w:t>
      </w:r>
      <w:r w:rsidRPr="006372C1">
        <w:rPr>
          <w:rFonts w:ascii="Times New Roman" w:hAnsi="Times New Roman" w:cs="Times New Roman"/>
          <w:color w:val="000000" w:themeColor="text1"/>
          <w:sz w:val="24"/>
        </w:rPr>
        <w:t xml:space="preserve">(toliau – CK), kitais įstatymais ir juos įgyvendinančius teisės aktais. </w:t>
      </w:r>
    </w:p>
    <w:p w:rsidR="007838E8" w:rsidRPr="006372C1" w:rsidRDefault="001F0E0A" w:rsidP="007838E8">
      <w:pPr>
        <w:pStyle w:val="Hyperlink1"/>
        <w:spacing w:line="240" w:lineRule="auto"/>
        <w:ind w:firstLine="720"/>
        <w:rPr>
          <w:bCs/>
          <w:color w:val="000000" w:themeColor="text1"/>
          <w:sz w:val="24"/>
          <w:szCs w:val="24"/>
          <w:lang w:val="lt-LT"/>
        </w:rPr>
      </w:pPr>
      <w:r w:rsidRPr="006372C1">
        <w:rPr>
          <w:color w:val="000000" w:themeColor="text1"/>
          <w:sz w:val="24"/>
          <w:szCs w:val="24"/>
          <w:lang w:val="lt-LT"/>
        </w:rPr>
        <w:t>4</w:t>
      </w:r>
      <w:r w:rsidR="007838E8" w:rsidRPr="006372C1">
        <w:rPr>
          <w:color w:val="000000" w:themeColor="text1"/>
          <w:sz w:val="24"/>
          <w:szCs w:val="24"/>
          <w:lang w:val="lt-LT"/>
        </w:rPr>
        <w:t xml:space="preserve">. </w:t>
      </w:r>
      <w:r w:rsidR="007838E8" w:rsidRPr="006372C1">
        <w:rPr>
          <w:bCs/>
          <w:color w:val="000000" w:themeColor="text1"/>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 atliekami Lietuvos Respublikos Vyriausybės ar jos įgaliotos institucijos nustatyta tvarka. Jei tokių pirkimų atlikimo tvarka reglamentuota šiose Taisyklėse, Taisyklių nuostatos taikomos tiek, kiek jos neprieštarauja Lietuvos Respublikos Vyriausybės ar jos įgaliotos institucijos nustatytai tvarkai.</w:t>
      </w:r>
    </w:p>
    <w:p w:rsidR="002C566E" w:rsidRPr="006372C1" w:rsidRDefault="001F0E0A" w:rsidP="00EF5218">
      <w:pPr>
        <w:widowControl/>
        <w:tabs>
          <w:tab w:val="left" w:pos="4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5</w:t>
      </w:r>
      <w:r w:rsidR="002C566E" w:rsidRPr="006372C1">
        <w:rPr>
          <w:rFonts w:ascii="Times New Roman" w:hAnsi="Times New Roman" w:cs="Times New Roman"/>
          <w:color w:val="000000" w:themeColor="text1"/>
          <w:sz w:val="24"/>
        </w:rPr>
        <w:t>.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2C566E" w:rsidRPr="006372C1" w:rsidRDefault="001F0E0A" w:rsidP="00EF5218">
      <w:pPr>
        <w:widowControl/>
        <w:tabs>
          <w:tab w:val="left" w:pos="4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2C566E" w:rsidRPr="006372C1">
        <w:rPr>
          <w:rFonts w:ascii="Times New Roman" w:hAnsi="Times New Roman" w:cs="Times New Roman"/>
          <w:color w:val="000000" w:themeColor="text1"/>
          <w:sz w:val="24"/>
        </w:rPr>
        <w:t>. Perkančioji organizacija prekių, paslaugų ir darbų supaprastintus pirkimus gali atlikti Viešųjų pirkimų įstatymo 84 straipsnyje nustatytais atvejais.</w:t>
      </w:r>
    </w:p>
    <w:p w:rsidR="003A0FC2" w:rsidRPr="006372C1" w:rsidRDefault="001F0E0A" w:rsidP="003A0FC2">
      <w:pPr>
        <w:pStyle w:val="Antrat4"/>
        <w:numPr>
          <w:ilvl w:val="0"/>
          <w:numId w:val="0"/>
        </w:numPr>
        <w:tabs>
          <w:tab w:val="left" w:pos="466"/>
        </w:tabs>
        <w:ind w:firstLine="709"/>
        <w:rPr>
          <w:color w:val="000000" w:themeColor="text1"/>
          <w:sz w:val="22"/>
        </w:rPr>
      </w:pPr>
      <w:r w:rsidRPr="006372C1">
        <w:rPr>
          <w:color w:val="000000" w:themeColor="text1"/>
          <w:sz w:val="22"/>
        </w:rPr>
        <w:t>7</w:t>
      </w:r>
      <w:r w:rsidR="003A0FC2" w:rsidRPr="006372C1">
        <w:rPr>
          <w:color w:val="000000" w:themeColor="text1"/>
          <w:sz w:val="22"/>
        </w:rPr>
        <w:t xml:space="preserve">. </w:t>
      </w:r>
      <w:r w:rsidR="003A0FC2" w:rsidRPr="006372C1">
        <w:rPr>
          <w:color w:val="000000" w:themeColor="text1"/>
          <w:szCs w:val="24"/>
        </w:rPr>
        <w:t xml:space="preserve">Perkančioji organizacija, atlikdama supaprastintus pirkimus, privalo vadovautis </w:t>
      </w:r>
      <w:r w:rsidR="0092282F" w:rsidRPr="006372C1">
        <w:rPr>
          <w:color w:val="000000" w:themeColor="text1"/>
          <w:szCs w:val="24"/>
        </w:rPr>
        <w:t>Viešųjų pirkimų</w:t>
      </w:r>
      <w:r w:rsidR="003A0FC2" w:rsidRPr="006372C1">
        <w:rPr>
          <w:color w:val="000000" w:themeColor="text1"/>
          <w:szCs w:val="24"/>
        </w:rPr>
        <w:t xml:space="preserve"> įstatymo I skyriaus, 24 straipsnio 2 dalies 6, 7, 8, 9, 13, 14, 23 punktų, 3, 5 ir 6 dalių, 27 straipsnio 1 dalies, 28 straipsnio 10 dalies, 40 straipsnio, 41 straipsnio 1 dalies, IV ir V skyrių reikalavimais (atlikdama mažos vertės pirkimus ir šio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Perkančioji organizacija, atlikdama neskelbiamą pirkimą, kai pateikti pasiūlymą kviečiamas tik vienas tiekėjas, neprivalo vadovautis šio įstatymo 24 straipsnio 2 dalies 5, 6, 7, 8, 9, 13, 14, 23 punktų, 3, 5 ir 6 dalių reikalavimais, jeigu mano, kad tokia informacija yra nereikalinga.</w:t>
      </w:r>
    </w:p>
    <w:p w:rsidR="002C566E" w:rsidRPr="006372C1" w:rsidRDefault="001F0E0A" w:rsidP="00EF5218">
      <w:pPr>
        <w:widowControl/>
        <w:tabs>
          <w:tab w:val="left" w:pos="4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w:t>
      </w:r>
      <w:r w:rsidR="002C566E" w:rsidRPr="006372C1">
        <w:rPr>
          <w:rFonts w:ascii="Times New Roman" w:hAnsi="Times New Roman" w:cs="Times New Roman"/>
          <w:color w:val="000000" w:themeColor="text1"/>
          <w:sz w:val="24"/>
        </w:rPr>
        <w:t>.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002FD" w:rsidRPr="006372C1" w:rsidRDefault="001F0E0A" w:rsidP="00EF5218">
      <w:pPr>
        <w:widowControl/>
        <w:tabs>
          <w:tab w:val="left" w:pos="4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lastRenderedPageBreak/>
        <w:t>9</w:t>
      </w:r>
      <w:r w:rsidR="002C566E" w:rsidRPr="006372C1">
        <w:rPr>
          <w:rFonts w:ascii="Times New Roman" w:hAnsi="Times New Roman" w:cs="Times New Roman"/>
          <w:color w:val="000000" w:themeColor="text1"/>
          <w:sz w:val="24"/>
        </w:rPr>
        <w:t xml:space="preserve">.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 </w:t>
      </w:r>
    </w:p>
    <w:p w:rsidR="002C566E" w:rsidRPr="006372C1" w:rsidRDefault="001F0E0A" w:rsidP="00EF5218">
      <w:pPr>
        <w:widowControl/>
        <w:tabs>
          <w:tab w:val="left" w:pos="466"/>
        </w:tabs>
        <w:jc w:val="both"/>
        <w:rPr>
          <w:rFonts w:ascii="Times New Roman" w:hAnsi="Times New Roman" w:cs="Times New Roman"/>
          <w:strike/>
          <w:color w:val="000000" w:themeColor="text1"/>
          <w:sz w:val="24"/>
        </w:rPr>
      </w:pPr>
      <w:r w:rsidRPr="006372C1">
        <w:rPr>
          <w:rFonts w:ascii="Times New Roman" w:hAnsi="Times New Roman" w:cs="Times New Roman"/>
          <w:color w:val="000000" w:themeColor="text1"/>
          <w:sz w:val="24"/>
        </w:rPr>
        <w:t>10</w:t>
      </w:r>
      <w:r w:rsidR="002C566E" w:rsidRPr="006372C1">
        <w:rPr>
          <w:rFonts w:ascii="Times New Roman" w:hAnsi="Times New Roman" w:cs="Times New Roman"/>
          <w:color w:val="000000" w:themeColor="text1"/>
          <w:sz w:val="24"/>
        </w:rPr>
        <w:t xml:space="preserve">. Atlikdama supaprastintus pirkimus perkančioji organizacija atsižvelgia į visuomenės poreikius socialinėje srityje, siekia paskatinti smulkaus ir vidutinio verslo subjektų dalyvavimą pirkimuose, vadovaujasi Viešųjų pirkimų įstatymo </w:t>
      </w:r>
      <w:r w:rsidR="006253A2" w:rsidRPr="006372C1">
        <w:rPr>
          <w:rFonts w:ascii="Times New Roman" w:hAnsi="Times New Roman" w:cs="Times New Roman"/>
          <w:color w:val="000000" w:themeColor="text1"/>
          <w:sz w:val="24"/>
        </w:rPr>
        <w:t xml:space="preserve">13 ir </w:t>
      </w:r>
      <w:r w:rsidR="002C566E" w:rsidRPr="006372C1">
        <w:rPr>
          <w:rFonts w:ascii="Times New Roman" w:hAnsi="Times New Roman" w:cs="Times New Roman"/>
          <w:color w:val="000000" w:themeColor="text1"/>
          <w:sz w:val="24"/>
        </w:rPr>
        <w:t>91 straipsni</w:t>
      </w:r>
      <w:r w:rsidR="006253A2" w:rsidRPr="006372C1">
        <w:rPr>
          <w:rFonts w:ascii="Times New Roman" w:hAnsi="Times New Roman" w:cs="Times New Roman"/>
          <w:color w:val="000000" w:themeColor="text1"/>
          <w:sz w:val="24"/>
        </w:rPr>
        <w:t>ų</w:t>
      </w:r>
      <w:r w:rsidR="002C566E" w:rsidRPr="006372C1">
        <w:rPr>
          <w:rFonts w:ascii="Times New Roman" w:hAnsi="Times New Roman" w:cs="Times New Roman"/>
          <w:color w:val="000000" w:themeColor="text1"/>
          <w:sz w:val="24"/>
        </w:rPr>
        <w:t>, kitų teisės aktų nuostatomis.</w:t>
      </w:r>
    </w:p>
    <w:p w:rsidR="00F9231A" w:rsidRPr="006372C1" w:rsidRDefault="001F0E0A" w:rsidP="00F9231A">
      <w:pPr>
        <w:widowControl/>
        <w:tabs>
          <w:tab w:val="left" w:pos="4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11</w:t>
      </w:r>
      <w:r w:rsidR="00F9231A" w:rsidRPr="006372C1">
        <w:rPr>
          <w:rFonts w:ascii="Times New Roman" w:hAnsi="Times New Roman" w:cs="Times New Roman"/>
          <w:color w:val="000000" w:themeColor="text1"/>
          <w:sz w:val="24"/>
        </w:rPr>
        <w:t>. Perkančio</w:t>
      </w:r>
      <w:r w:rsidR="00A20B11" w:rsidRPr="006372C1">
        <w:rPr>
          <w:rFonts w:ascii="Times New Roman" w:hAnsi="Times New Roman" w:cs="Times New Roman"/>
          <w:color w:val="000000" w:themeColor="text1"/>
          <w:sz w:val="24"/>
        </w:rPr>
        <w:t>ji</w:t>
      </w:r>
      <w:r w:rsidR="00F9231A" w:rsidRPr="006372C1">
        <w:rPr>
          <w:rFonts w:ascii="Times New Roman" w:hAnsi="Times New Roman" w:cs="Times New Roman"/>
          <w:color w:val="000000" w:themeColor="text1"/>
          <w:sz w:val="24"/>
        </w:rPr>
        <w:t xml:space="preserve"> organizacij</w:t>
      </w:r>
      <w:r w:rsidR="00A20B11" w:rsidRPr="006372C1">
        <w:rPr>
          <w:rFonts w:ascii="Times New Roman" w:hAnsi="Times New Roman" w:cs="Times New Roman"/>
          <w:color w:val="000000" w:themeColor="text1"/>
          <w:sz w:val="24"/>
        </w:rPr>
        <w:t>a</w:t>
      </w:r>
      <w:r w:rsidR="00F9231A" w:rsidRPr="006372C1">
        <w:rPr>
          <w:rFonts w:ascii="Times New Roman" w:hAnsi="Times New Roman" w:cs="Times New Roman"/>
          <w:color w:val="000000" w:themeColor="text1"/>
          <w:sz w:val="24"/>
        </w:rPr>
        <w:t xml:space="preserve"> privalo įsigyti prekes, paslaugas ir darbus iš centrinės perkančiosios organizacijos arba per ją,</w:t>
      </w:r>
      <w:r w:rsidR="0068441E" w:rsidRPr="006372C1">
        <w:rPr>
          <w:rFonts w:ascii="Times New Roman" w:hAnsi="Times New Roman" w:cs="Times New Roman"/>
          <w:color w:val="000000" w:themeColor="text1"/>
          <w:sz w:val="24"/>
        </w:rPr>
        <w:t xml:space="preserve"> </w:t>
      </w:r>
      <w:r w:rsidR="00F9231A" w:rsidRPr="006372C1">
        <w:rPr>
          <w:rFonts w:ascii="Times New Roman" w:hAnsi="Times New Roman" w:cs="Times New Roman"/>
          <w:color w:val="000000" w:themeColor="text1"/>
          <w:sz w:val="24"/>
        </w:rPr>
        <w:t>kai centrinės perkančiosios organizacijos kataloge siūlomos prekės, paslaugos ar darbai atitinka perkančiosios organizacijos poreikius ir perkančioji organizacija negali jų atlikti efektyvesniu būdu racionaliai naudodama tam skirtas lėšas. Perkančio</w:t>
      </w:r>
      <w:r w:rsidR="00BA061F" w:rsidRPr="006372C1">
        <w:rPr>
          <w:rFonts w:ascii="Times New Roman" w:hAnsi="Times New Roman" w:cs="Times New Roman"/>
          <w:color w:val="000000" w:themeColor="text1"/>
          <w:sz w:val="24"/>
        </w:rPr>
        <w:t>ji</w:t>
      </w:r>
      <w:r w:rsidR="00F9231A" w:rsidRPr="006372C1">
        <w:rPr>
          <w:rFonts w:ascii="Times New Roman" w:hAnsi="Times New Roman" w:cs="Times New Roman"/>
          <w:color w:val="000000" w:themeColor="text1"/>
          <w:sz w:val="24"/>
        </w:rPr>
        <w:t xml:space="preserve"> organizacij</w:t>
      </w:r>
      <w:r w:rsidR="00BA061F" w:rsidRPr="006372C1">
        <w:rPr>
          <w:rFonts w:ascii="Times New Roman" w:hAnsi="Times New Roman" w:cs="Times New Roman"/>
          <w:color w:val="000000" w:themeColor="text1"/>
          <w:sz w:val="24"/>
        </w:rPr>
        <w:t>a</w:t>
      </w:r>
      <w:r w:rsidR="00F9231A" w:rsidRPr="006372C1">
        <w:rPr>
          <w:rFonts w:ascii="Times New Roman" w:hAnsi="Times New Roman" w:cs="Times New Roman"/>
          <w:color w:val="000000" w:themeColor="text1"/>
          <w:sz w:val="24"/>
        </w:rPr>
        <w:t xml:space="preserve"> privalo motyvuoti savo sprendimą neatlikti centrinės perkančiosios organizacijos kataloge siūlomų prekių, paslaugų ar darbų pirkimo ir saugoti tai patvirtinantį dokumentą kartu</w:t>
      </w:r>
      <w:r w:rsidR="00BA061F" w:rsidRPr="006372C1">
        <w:rPr>
          <w:rFonts w:ascii="Times New Roman" w:hAnsi="Times New Roman" w:cs="Times New Roman"/>
          <w:color w:val="000000" w:themeColor="text1"/>
          <w:sz w:val="24"/>
        </w:rPr>
        <w:t xml:space="preserve"> su kitais pirkimo dokumentais </w:t>
      </w:r>
      <w:r w:rsidR="00F9231A" w:rsidRPr="006372C1">
        <w:rPr>
          <w:rFonts w:ascii="Times New Roman" w:hAnsi="Times New Roman" w:cs="Times New Roman"/>
          <w:color w:val="000000" w:themeColor="text1"/>
          <w:sz w:val="24"/>
        </w:rPr>
        <w:t xml:space="preserve"> įstatymo 21 straipsnyje nustatyta tvarka.</w:t>
      </w:r>
    </w:p>
    <w:p w:rsidR="002C566E" w:rsidRPr="006372C1" w:rsidRDefault="001F0E0A" w:rsidP="00F9231A">
      <w:pPr>
        <w:widowControl/>
        <w:tabs>
          <w:tab w:val="left" w:pos="4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12</w:t>
      </w:r>
      <w:r w:rsidR="00F9231A" w:rsidRPr="006372C1">
        <w:rPr>
          <w:rFonts w:ascii="Times New Roman" w:hAnsi="Times New Roman" w:cs="Times New Roman"/>
          <w:color w:val="000000" w:themeColor="text1"/>
          <w:sz w:val="24"/>
        </w:rPr>
        <w:t>. T</w:t>
      </w:r>
      <w:r w:rsidR="002C566E" w:rsidRPr="006372C1">
        <w:rPr>
          <w:rFonts w:ascii="Times New Roman" w:hAnsi="Times New Roman" w:cs="Times New Roman"/>
          <w:color w:val="000000" w:themeColor="text1"/>
          <w:sz w:val="24"/>
        </w:rPr>
        <w:t>aisyklėse naudojamos sąvokos:</w:t>
      </w:r>
    </w:p>
    <w:p w:rsidR="006002FD" w:rsidRPr="006372C1" w:rsidRDefault="00515113" w:rsidP="00EF5218">
      <w:pPr>
        <w:widowControl/>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12.1.</w:t>
      </w:r>
      <w:r w:rsidRPr="006372C1">
        <w:rPr>
          <w:rFonts w:ascii="Times New Roman" w:hAnsi="Times New Roman" w:cs="Times New Roman"/>
          <w:b/>
          <w:color w:val="000000" w:themeColor="text1"/>
          <w:sz w:val="24"/>
        </w:rPr>
        <w:t xml:space="preserve"> </w:t>
      </w:r>
      <w:r w:rsidR="002C566E" w:rsidRPr="006372C1">
        <w:rPr>
          <w:rFonts w:ascii="Times New Roman" w:hAnsi="Times New Roman" w:cs="Times New Roman"/>
          <w:b/>
          <w:color w:val="000000" w:themeColor="text1"/>
          <w:sz w:val="24"/>
        </w:rPr>
        <w:t>Apklausa</w:t>
      </w:r>
      <w:r w:rsidR="002C566E" w:rsidRPr="006372C1">
        <w:rPr>
          <w:rFonts w:ascii="Times New Roman" w:hAnsi="Times New Roman" w:cs="Times New Roman"/>
          <w:color w:val="000000" w:themeColor="text1"/>
          <w:sz w:val="24"/>
        </w:rPr>
        <w:t xml:space="preserve"> – supaprastinto pirkimo būdas, kai perkančioji organizacija raštu arba žodžiu kviečia tiekėjus pateikti pasiūlymus ir perka prekes, paslaugas ar darbus iš</w:t>
      </w:r>
      <w:r w:rsidR="000E6F28" w:rsidRPr="006372C1">
        <w:rPr>
          <w:rFonts w:ascii="Times New Roman" w:hAnsi="Times New Roman" w:cs="Times New Roman"/>
          <w:color w:val="000000" w:themeColor="text1"/>
          <w:sz w:val="24"/>
        </w:rPr>
        <w:t>, pagal keliamus reikalavimus ir nustatytą pasiūlymo vertinimo kriterijų</w:t>
      </w:r>
      <w:r w:rsidRPr="006372C1">
        <w:rPr>
          <w:rFonts w:ascii="Times New Roman" w:hAnsi="Times New Roman" w:cs="Times New Roman"/>
          <w:color w:val="000000" w:themeColor="text1"/>
          <w:sz w:val="24"/>
        </w:rPr>
        <w:t xml:space="preserve">, </w:t>
      </w:r>
      <w:r w:rsidR="000E6F28" w:rsidRPr="006372C1">
        <w:rPr>
          <w:rFonts w:ascii="Times New Roman" w:hAnsi="Times New Roman" w:cs="Times New Roman"/>
          <w:color w:val="000000" w:themeColor="text1"/>
          <w:sz w:val="24"/>
        </w:rPr>
        <w:t xml:space="preserve"> tinkamiausią pasiūlymą pateikusio dalyvio</w:t>
      </w:r>
      <w:r w:rsidRPr="006372C1">
        <w:rPr>
          <w:rFonts w:ascii="Times New Roman" w:hAnsi="Times New Roman" w:cs="Times New Roman"/>
          <w:color w:val="000000" w:themeColor="text1"/>
          <w:sz w:val="24"/>
        </w:rPr>
        <w:t>;</w:t>
      </w:r>
      <w:r w:rsidR="002C566E" w:rsidRPr="006372C1">
        <w:rPr>
          <w:rFonts w:ascii="Times New Roman" w:hAnsi="Times New Roman" w:cs="Times New Roman"/>
          <w:color w:val="000000" w:themeColor="text1"/>
          <w:sz w:val="24"/>
        </w:rPr>
        <w:t xml:space="preserve"> </w:t>
      </w:r>
    </w:p>
    <w:p w:rsidR="002C566E" w:rsidRPr="006372C1" w:rsidRDefault="00515113" w:rsidP="00EF5218">
      <w:pPr>
        <w:widowControl/>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12.2.</w:t>
      </w:r>
      <w:r w:rsidRPr="006372C1">
        <w:rPr>
          <w:rFonts w:ascii="Times New Roman" w:hAnsi="Times New Roman" w:cs="Times New Roman"/>
          <w:b/>
          <w:color w:val="000000" w:themeColor="text1"/>
          <w:sz w:val="24"/>
        </w:rPr>
        <w:t xml:space="preserve"> </w:t>
      </w:r>
      <w:r w:rsidR="002C566E" w:rsidRPr="006372C1">
        <w:rPr>
          <w:rFonts w:ascii="Times New Roman" w:hAnsi="Times New Roman" w:cs="Times New Roman"/>
          <w:b/>
          <w:color w:val="000000" w:themeColor="text1"/>
          <w:sz w:val="24"/>
        </w:rPr>
        <w:t>Kvalifikacijos patikrinimas</w:t>
      </w:r>
      <w:r w:rsidR="002C566E" w:rsidRPr="006372C1">
        <w:rPr>
          <w:rFonts w:ascii="Times New Roman" w:hAnsi="Times New Roman" w:cs="Times New Roman"/>
          <w:color w:val="000000" w:themeColor="text1"/>
          <w:sz w:val="24"/>
        </w:rPr>
        <w:t xml:space="preserve"> – procedūra, kurios metu tikrinama, ar tiekėjai atitinka pirkimo dokumentuose nurodytus minimalius kvalifikacijos reikalavimus;</w:t>
      </w:r>
    </w:p>
    <w:p w:rsidR="002C566E" w:rsidRPr="006372C1" w:rsidRDefault="00515113" w:rsidP="00EF5218">
      <w:pPr>
        <w:widowControl/>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12.</w:t>
      </w:r>
      <w:r w:rsidR="006002FD" w:rsidRPr="006372C1">
        <w:rPr>
          <w:rFonts w:ascii="Times New Roman" w:hAnsi="Times New Roman" w:cs="Times New Roman"/>
          <w:color w:val="000000" w:themeColor="text1"/>
          <w:sz w:val="24"/>
        </w:rPr>
        <w:t>3</w:t>
      </w:r>
      <w:r w:rsidRPr="006372C1">
        <w:rPr>
          <w:rFonts w:ascii="Times New Roman" w:hAnsi="Times New Roman" w:cs="Times New Roman"/>
          <w:color w:val="000000" w:themeColor="text1"/>
          <w:sz w:val="24"/>
        </w:rPr>
        <w:t>.</w:t>
      </w:r>
      <w:r w:rsidRPr="006372C1">
        <w:rPr>
          <w:rFonts w:ascii="Times New Roman" w:hAnsi="Times New Roman" w:cs="Times New Roman"/>
          <w:b/>
          <w:color w:val="000000" w:themeColor="text1"/>
          <w:sz w:val="24"/>
        </w:rPr>
        <w:t xml:space="preserve"> </w:t>
      </w:r>
      <w:r w:rsidR="002C566E" w:rsidRPr="006372C1">
        <w:rPr>
          <w:rFonts w:ascii="Times New Roman" w:hAnsi="Times New Roman" w:cs="Times New Roman"/>
          <w:b/>
          <w:color w:val="000000" w:themeColor="text1"/>
          <w:sz w:val="24"/>
        </w:rPr>
        <w:t xml:space="preserve">Mažos vertės viešasis pirkimas </w:t>
      </w:r>
      <w:r w:rsidR="002C566E" w:rsidRPr="006372C1">
        <w:rPr>
          <w:rFonts w:ascii="Times New Roman" w:hAnsi="Times New Roman" w:cs="Times New Roman"/>
          <w:color w:val="000000" w:themeColor="text1"/>
          <w:sz w:val="24"/>
        </w:rPr>
        <w:t>(toliau – mažos vertės pirkimas) – supaprastintas pirkimas, kai yra bent viena iš šių sąlygų:</w:t>
      </w:r>
      <w:r w:rsidR="00A87832" w:rsidRPr="006372C1">
        <w:rPr>
          <w:rFonts w:ascii="Times New Roman" w:hAnsi="Times New Roman" w:cs="Times New Roman"/>
          <w:color w:val="000000" w:themeColor="text1"/>
          <w:sz w:val="24"/>
        </w:rPr>
        <w:t xml:space="preserve"> </w:t>
      </w:r>
    </w:p>
    <w:p w:rsidR="001C30F5" w:rsidRPr="006372C1" w:rsidRDefault="002C566E" w:rsidP="00EF5218">
      <w:pPr>
        <w:widowControl/>
        <w:jc w:val="both"/>
        <w:rPr>
          <w:rFonts w:ascii="Times New Roman" w:hAnsi="Times New Roman"/>
          <w:color w:val="000000" w:themeColor="text1"/>
          <w:sz w:val="24"/>
        </w:rPr>
      </w:pPr>
      <w:r w:rsidRPr="006372C1">
        <w:rPr>
          <w:rFonts w:ascii="Times New Roman" w:hAnsi="Times New Roman" w:cs="Times New Roman"/>
          <w:color w:val="000000" w:themeColor="text1"/>
          <w:sz w:val="24"/>
        </w:rPr>
        <w:t xml:space="preserve"> </w:t>
      </w:r>
      <w:r w:rsidR="00515113" w:rsidRPr="006372C1">
        <w:rPr>
          <w:rFonts w:ascii="Times New Roman" w:hAnsi="Times New Roman" w:cs="Times New Roman"/>
          <w:color w:val="000000" w:themeColor="text1"/>
          <w:sz w:val="24"/>
        </w:rPr>
        <w:t>12.</w:t>
      </w:r>
      <w:r w:rsidR="006002FD" w:rsidRPr="006372C1">
        <w:rPr>
          <w:rFonts w:ascii="Times New Roman" w:hAnsi="Times New Roman" w:cs="Times New Roman"/>
          <w:color w:val="000000" w:themeColor="text1"/>
          <w:sz w:val="24"/>
        </w:rPr>
        <w:t>3</w:t>
      </w:r>
      <w:r w:rsidR="00515113" w:rsidRPr="006372C1">
        <w:rPr>
          <w:rFonts w:ascii="Times New Roman" w:hAnsi="Times New Roman" w:cs="Times New Roman"/>
          <w:color w:val="000000" w:themeColor="text1"/>
          <w:sz w:val="24"/>
        </w:rPr>
        <w:t>.1.</w:t>
      </w:r>
      <w:r w:rsidR="001C30F5" w:rsidRPr="006372C1">
        <w:rPr>
          <w:rFonts w:ascii="Times New Roman" w:hAnsi="Times New Roman"/>
          <w:color w:val="000000" w:themeColor="text1"/>
          <w:sz w:val="24"/>
        </w:rPr>
        <w:t xml:space="preserve"> prekių ar paslaugų pirkimo vertė yra mažesnė kaip 58 000 eurų (be pridėtinės vertės mokesčio), o darbų pirkimo vertė mažesnė kaip 145 000 eurų (be pridėtinės vertės mokesčio);</w:t>
      </w:r>
    </w:p>
    <w:p w:rsidR="002C566E" w:rsidRPr="006372C1" w:rsidRDefault="005254E3" w:rsidP="00EF5218">
      <w:pPr>
        <w:widowControl/>
        <w:jc w:val="both"/>
        <w:rPr>
          <w:rFonts w:ascii="Times New Roman" w:hAnsi="Times New Roman" w:cs="Times New Roman"/>
          <w:b/>
          <w:color w:val="000000" w:themeColor="text1"/>
          <w:sz w:val="24"/>
        </w:rPr>
      </w:pPr>
      <w:r w:rsidRPr="006372C1">
        <w:rPr>
          <w:rFonts w:ascii="Times New Roman" w:hAnsi="Times New Roman" w:cs="Times New Roman"/>
          <w:color w:val="000000" w:themeColor="text1"/>
          <w:sz w:val="24"/>
        </w:rPr>
        <w:t xml:space="preserve"> </w:t>
      </w:r>
      <w:r w:rsidR="00515113" w:rsidRPr="006372C1">
        <w:rPr>
          <w:rFonts w:ascii="Times New Roman" w:hAnsi="Times New Roman" w:cs="Times New Roman"/>
          <w:color w:val="000000" w:themeColor="text1"/>
          <w:sz w:val="24"/>
        </w:rPr>
        <w:t>12.</w:t>
      </w:r>
      <w:r w:rsidR="006002FD" w:rsidRPr="006372C1">
        <w:rPr>
          <w:rFonts w:ascii="Times New Roman" w:hAnsi="Times New Roman" w:cs="Times New Roman"/>
          <w:color w:val="000000" w:themeColor="text1"/>
          <w:sz w:val="24"/>
        </w:rPr>
        <w:t>3</w:t>
      </w:r>
      <w:r w:rsidR="00515113" w:rsidRPr="006372C1">
        <w:rPr>
          <w:rFonts w:ascii="Times New Roman" w:hAnsi="Times New Roman" w:cs="Times New Roman"/>
          <w:color w:val="000000" w:themeColor="text1"/>
          <w:sz w:val="24"/>
        </w:rPr>
        <w:t>.2.</w:t>
      </w:r>
      <w:r w:rsidR="00EC3A40" w:rsidRPr="006372C1">
        <w:rPr>
          <w:rFonts w:ascii="Times New Roman" w:hAnsi="Times New Roman"/>
          <w:color w:val="000000" w:themeColor="text1"/>
          <w:sz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r w:rsidR="002C566E" w:rsidRPr="006372C1">
        <w:rPr>
          <w:rFonts w:ascii="Times New Roman" w:hAnsi="Times New Roman" w:cs="Times New Roman"/>
          <w:color w:val="000000" w:themeColor="text1"/>
          <w:sz w:val="24"/>
        </w:rPr>
        <w:t>.</w:t>
      </w:r>
    </w:p>
    <w:p w:rsidR="002C566E" w:rsidRPr="006372C1" w:rsidRDefault="005254E3" w:rsidP="00EF5218">
      <w:pPr>
        <w:widowControl/>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 xml:space="preserve"> </w:t>
      </w:r>
      <w:r w:rsidR="001F0E0A" w:rsidRPr="006372C1">
        <w:rPr>
          <w:rFonts w:ascii="Times New Roman" w:hAnsi="Times New Roman" w:cs="Times New Roman"/>
          <w:color w:val="000000" w:themeColor="text1"/>
          <w:sz w:val="24"/>
        </w:rPr>
        <w:t>12</w:t>
      </w:r>
      <w:r w:rsidR="002C566E" w:rsidRPr="006372C1">
        <w:rPr>
          <w:rFonts w:ascii="Times New Roman" w:hAnsi="Times New Roman" w:cs="Times New Roman"/>
          <w:color w:val="000000" w:themeColor="text1"/>
          <w:sz w:val="24"/>
        </w:rPr>
        <w:t>.</w:t>
      </w:r>
      <w:r w:rsidRPr="006372C1">
        <w:rPr>
          <w:rFonts w:ascii="Times New Roman" w:hAnsi="Times New Roman" w:cs="Times New Roman"/>
          <w:color w:val="000000" w:themeColor="text1"/>
          <w:sz w:val="24"/>
        </w:rPr>
        <w:t>4</w:t>
      </w:r>
      <w:r w:rsidR="002C566E" w:rsidRPr="006372C1">
        <w:rPr>
          <w:rFonts w:ascii="Times New Roman" w:hAnsi="Times New Roman" w:cs="Times New Roman"/>
          <w:color w:val="000000" w:themeColor="text1"/>
          <w:sz w:val="24"/>
        </w:rPr>
        <w:t>.</w:t>
      </w:r>
      <w:r w:rsidR="002C566E" w:rsidRPr="006372C1">
        <w:rPr>
          <w:rFonts w:ascii="Times New Roman" w:hAnsi="Times New Roman" w:cs="Times New Roman"/>
          <w:b/>
          <w:color w:val="000000" w:themeColor="text1"/>
          <w:sz w:val="24"/>
        </w:rPr>
        <w:t xml:space="preserve"> Numatomo pirkimo vertė</w:t>
      </w:r>
      <w:r w:rsidR="002C566E" w:rsidRPr="006372C1">
        <w:rPr>
          <w:rFonts w:ascii="Times New Roman" w:hAnsi="Times New Roman" w:cs="Times New Roman"/>
          <w:color w:val="000000" w:themeColor="text1"/>
          <w:sz w:val="24"/>
        </w:rPr>
        <w:t xml:space="preserve"> (toliau – pirkimo vertė) – perkančiosios organizacijos </w:t>
      </w:r>
      <w:r w:rsidR="00515113" w:rsidRPr="006372C1">
        <w:rPr>
          <w:rFonts w:ascii="Times New Roman" w:hAnsi="Times New Roman" w:cs="Times New Roman"/>
          <w:color w:val="000000" w:themeColor="text1"/>
          <w:sz w:val="24"/>
        </w:rPr>
        <w:t xml:space="preserve">numatomos </w:t>
      </w:r>
      <w:r w:rsidR="002C566E" w:rsidRPr="006372C1">
        <w:rPr>
          <w:rFonts w:ascii="Times New Roman" w:hAnsi="Times New Roman" w:cs="Times New Roman"/>
          <w:color w:val="000000" w:themeColor="text1"/>
          <w:sz w:val="24"/>
        </w:rPr>
        <w:t xml:space="preserve">sudaryti pirkimo </w:t>
      </w:r>
      <w:r w:rsidR="0066337F" w:rsidRPr="006372C1">
        <w:rPr>
          <w:rFonts w:ascii="Times New Roman" w:hAnsi="Times New Roman" w:cs="Times New Roman"/>
          <w:color w:val="000000" w:themeColor="text1"/>
          <w:sz w:val="24"/>
        </w:rPr>
        <w:t xml:space="preserve">sutarties </w:t>
      </w:r>
      <w:r w:rsidR="002C566E" w:rsidRPr="006372C1">
        <w:rPr>
          <w:rFonts w:ascii="Times New Roman" w:hAnsi="Times New Roman" w:cs="Times New Roman"/>
          <w:color w:val="000000" w:themeColor="text1"/>
          <w:sz w:val="24"/>
        </w:rPr>
        <w:t>vertė, skaičiuojama imant visą mokėtiną sumą be</w:t>
      </w:r>
      <w:r w:rsidR="0066337F" w:rsidRPr="006372C1">
        <w:rPr>
          <w:rFonts w:ascii="Times New Roman" w:hAnsi="Times New Roman" w:cs="Times New Roman"/>
          <w:color w:val="000000" w:themeColor="text1"/>
          <w:sz w:val="24"/>
        </w:rPr>
        <w:t xml:space="preserve"> pridėtinės vertės mokesčio</w:t>
      </w:r>
      <w:r w:rsidR="00FB1FA9" w:rsidRPr="006372C1">
        <w:rPr>
          <w:rFonts w:ascii="Times New Roman" w:hAnsi="Times New Roman" w:cs="Times New Roman"/>
          <w:color w:val="000000" w:themeColor="text1"/>
          <w:sz w:val="24"/>
        </w:rPr>
        <w:t>, įskaitant visas sutarties</w:t>
      </w:r>
      <w:r w:rsidR="002C566E" w:rsidRPr="006372C1">
        <w:rPr>
          <w:rFonts w:ascii="Times New Roman" w:hAnsi="Times New Roman" w:cs="Times New Roman"/>
          <w:color w:val="000000" w:themeColor="text1"/>
          <w:sz w:val="24"/>
        </w:rPr>
        <w:t xml:space="preserve"> pasirinkimo ir </w:t>
      </w:r>
      <w:r w:rsidR="004B6422" w:rsidRPr="006372C1">
        <w:rPr>
          <w:rFonts w:ascii="Times New Roman" w:hAnsi="Times New Roman" w:cs="Times New Roman"/>
          <w:color w:val="000000" w:themeColor="text1"/>
          <w:sz w:val="24"/>
        </w:rPr>
        <w:t xml:space="preserve">atnaujinimo </w:t>
      </w:r>
      <w:r w:rsidR="002C566E" w:rsidRPr="006372C1">
        <w:rPr>
          <w:rFonts w:ascii="Times New Roman" w:hAnsi="Times New Roman" w:cs="Times New Roman"/>
          <w:color w:val="000000" w:themeColor="text1"/>
          <w:sz w:val="24"/>
        </w:rPr>
        <w:t>galimybes.</w:t>
      </w:r>
      <w:r w:rsidR="004B6422" w:rsidRPr="006372C1">
        <w:rPr>
          <w:rFonts w:ascii="Times New Roman" w:hAnsi="Times New Roman" w:cs="Times New Roman"/>
          <w:color w:val="000000" w:themeColor="text1"/>
          <w:sz w:val="24"/>
        </w:rPr>
        <w:t xml:space="preserve"> </w:t>
      </w:r>
      <w:r w:rsidR="002C566E" w:rsidRPr="006372C1">
        <w:rPr>
          <w:rFonts w:ascii="Times New Roman" w:hAnsi="Times New Roman" w:cs="Times New Roman"/>
          <w:color w:val="000000" w:themeColor="text1"/>
          <w:sz w:val="24"/>
        </w:rPr>
        <w:t xml:space="preserve">Pirkimo vertė skaičiuojama </w:t>
      </w:r>
      <w:r w:rsidR="0066337F" w:rsidRPr="006372C1">
        <w:rPr>
          <w:rFonts w:ascii="Times New Roman" w:hAnsi="Times New Roman" w:cs="Times New Roman"/>
          <w:color w:val="000000" w:themeColor="text1"/>
          <w:sz w:val="24"/>
        </w:rPr>
        <w:t xml:space="preserve">tokia, kokia ji yra pirkimo pradžioje, nustatytoje Viešųjų pirkimų įstatymo 7 straipsnio 2 dalyje. </w:t>
      </w:r>
    </w:p>
    <w:p w:rsidR="002C566E" w:rsidRPr="006372C1" w:rsidRDefault="001F0E0A" w:rsidP="00970424">
      <w:pPr>
        <w:widowControl/>
        <w:tabs>
          <w:tab w:val="left" w:pos="4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12</w:t>
      </w:r>
      <w:r w:rsidR="002C566E" w:rsidRPr="006372C1">
        <w:rPr>
          <w:rFonts w:ascii="Times New Roman" w:hAnsi="Times New Roman" w:cs="Times New Roman"/>
          <w:color w:val="000000" w:themeColor="text1"/>
          <w:sz w:val="24"/>
        </w:rPr>
        <w:t>.</w:t>
      </w:r>
      <w:r w:rsidR="005254E3" w:rsidRPr="006372C1">
        <w:rPr>
          <w:rFonts w:ascii="Times New Roman" w:hAnsi="Times New Roman" w:cs="Times New Roman"/>
          <w:color w:val="000000" w:themeColor="text1"/>
          <w:sz w:val="24"/>
        </w:rPr>
        <w:t>5</w:t>
      </w:r>
      <w:r w:rsidR="002C566E" w:rsidRPr="006372C1">
        <w:rPr>
          <w:rFonts w:ascii="Times New Roman" w:hAnsi="Times New Roman" w:cs="Times New Roman"/>
          <w:color w:val="000000" w:themeColor="text1"/>
          <w:sz w:val="24"/>
        </w:rPr>
        <w:t>.</w:t>
      </w:r>
      <w:r w:rsidR="002C566E" w:rsidRPr="006372C1">
        <w:rPr>
          <w:rFonts w:ascii="Times New Roman" w:hAnsi="Times New Roman" w:cs="Times New Roman"/>
          <w:b/>
          <w:color w:val="000000" w:themeColor="text1"/>
          <w:sz w:val="24"/>
        </w:rPr>
        <w:t xml:space="preserve"> </w:t>
      </w:r>
      <w:r w:rsidR="0066337F" w:rsidRPr="006372C1">
        <w:rPr>
          <w:rFonts w:ascii="Times New Roman" w:hAnsi="Times New Roman" w:cs="Times New Roman"/>
          <w:b/>
          <w:color w:val="000000" w:themeColor="text1"/>
          <w:sz w:val="24"/>
        </w:rPr>
        <w:t xml:space="preserve">Pirkimų </w:t>
      </w:r>
      <w:r w:rsidR="002C566E" w:rsidRPr="006372C1">
        <w:rPr>
          <w:rFonts w:ascii="Times New Roman" w:hAnsi="Times New Roman" w:cs="Times New Roman"/>
          <w:b/>
          <w:color w:val="000000" w:themeColor="text1"/>
          <w:sz w:val="24"/>
        </w:rPr>
        <w:t>organizatorius</w:t>
      </w:r>
      <w:r w:rsidR="002C566E" w:rsidRPr="006372C1">
        <w:rPr>
          <w:rFonts w:ascii="Times New Roman" w:hAnsi="Times New Roman" w:cs="Times New Roman"/>
          <w:color w:val="000000" w:themeColor="text1"/>
          <w:sz w:val="24"/>
        </w:rPr>
        <w:t xml:space="preserve"> – perkančiosios organizacijos vadovo įsakymu paskirtas</w:t>
      </w:r>
      <w:r w:rsidR="002C566E" w:rsidRPr="006372C1">
        <w:rPr>
          <w:rFonts w:ascii="Times New Roman" w:hAnsi="Times New Roman" w:cs="Times New Roman"/>
          <w:i/>
          <w:iCs/>
          <w:color w:val="000000" w:themeColor="text1"/>
          <w:sz w:val="24"/>
        </w:rPr>
        <w:t xml:space="preserve"> </w:t>
      </w:r>
      <w:r w:rsidR="002C566E" w:rsidRPr="006372C1">
        <w:rPr>
          <w:rFonts w:ascii="Times New Roman" w:hAnsi="Times New Roman" w:cs="Times New Roman"/>
          <w:color w:val="000000" w:themeColor="text1"/>
          <w:sz w:val="24"/>
        </w:rPr>
        <w:t xml:space="preserve">valstybės tarnautojas ar darbuotojas, dirbantis pagal darbo sutartį, kuris perkančiosios organizacijos nustatyta tvarka organizuoja ir atlieka mažos vertės pirkimus, kai tokiems pirkimams atlikti nesudaroma </w:t>
      </w:r>
      <w:r w:rsidR="0066337F" w:rsidRPr="006372C1">
        <w:rPr>
          <w:rFonts w:ascii="Times New Roman" w:hAnsi="Times New Roman" w:cs="Times New Roman"/>
          <w:color w:val="000000" w:themeColor="text1"/>
          <w:sz w:val="24"/>
        </w:rPr>
        <w:t>Viešojo pirkimo</w:t>
      </w:r>
      <w:r w:rsidR="002C566E" w:rsidRPr="006372C1">
        <w:rPr>
          <w:rFonts w:ascii="Times New Roman" w:hAnsi="Times New Roman" w:cs="Times New Roman"/>
          <w:color w:val="000000" w:themeColor="text1"/>
          <w:sz w:val="24"/>
        </w:rPr>
        <w:t xml:space="preserve"> komisija (toliau – Komisija)</w:t>
      </w:r>
      <w:r w:rsidR="00E67DCE" w:rsidRPr="006372C1">
        <w:rPr>
          <w:rFonts w:ascii="Times New Roman" w:hAnsi="Times New Roman" w:cs="Times New Roman"/>
          <w:color w:val="000000" w:themeColor="text1"/>
          <w:sz w:val="24"/>
        </w:rPr>
        <w:t>;</w:t>
      </w:r>
    </w:p>
    <w:p w:rsidR="002C566E" w:rsidRPr="006372C1" w:rsidRDefault="0066337F" w:rsidP="00EF5218">
      <w:pPr>
        <w:widowControl/>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12.</w:t>
      </w:r>
      <w:r w:rsidR="009D120A">
        <w:rPr>
          <w:rFonts w:ascii="Times New Roman" w:hAnsi="Times New Roman" w:cs="Times New Roman"/>
          <w:color w:val="000000" w:themeColor="text1"/>
          <w:sz w:val="24"/>
        </w:rPr>
        <w:t>6</w:t>
      </w:r>
      <w:r w:rsidRPr="006372C1">
        <w:rPr>
          <w:rFonts w:ascii="Times New Roman" w:hAnsi="Times New Roman" w:cs="Times New Roman"/>
          <w:color w:val="000000" w:themeColor="text1"/>
          <w:sz w:val="24"/>
        </w:rPr>
        <w:t>.</w:t>
      </w:r>
      <w:r w:rsidR="002C566E" w:rsidRPr="006372C1">
        <w:rPr>
          <w:rFonts w:ascii="Times New Roman" w:hAnsi="Times New Roman" w:cs="Times New Roman"/>
          <w:b/>
          <w:color w:val="000000" w:themeColor="text1"/>
          <w:sz w:val="24"/>
        </w:rPr>
        <w:t xml:space="preserve"> Supaprastintas atviras konkursas</w:t>
      </w:r>
      <w:r w:rsidR="002C566E" w:rsidRPr="006372C1">
        <w:rPr>
          <w:rFonts w:ascii="Times New Roman" w:hAnsi="Times New Roman" w:cs="Times New Roman"/>
          <w:color w:val="000000" w:themeColor="text1"/>
          <w:sz w:val="24"/>
        </w:rPr>
        <w:t xml:space="preserve"> – supaprastinto pirkimo būdas, kai kiekvienas suinteresuotas tiekėjas gali pateikti pasiūlymą;</w:t>
      </w:r>
    </w:p>
    <w:p w:rsidR="002C566E" w:rsidRPr="006372C1" w:rsidRDefault="0066337F" w:rsidP="00EF5218">
      <w:pPr>
        <w:widowControl/>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12.</w:t>
      </w:r>
      <w:r w:rsidR="009D120A">
        <w:rPr>
          <w:rFonts w:ascii="Times New Roman" w:hAnsi="Times New Roman" w:cs="Times New Roman"/>
          <w:color w:val="000000" w:themeColor="text1"/>
          <w:sz w:val="24"/>
        </w:rPr>
        <w:t>7</w:t>
      </w:r>
      <w:r w:rsidRPr="006372C1">
        <w:rPr>
          <w:rFonts w:ascii="Times New Roman" w:hAnsi="Times New Roman" w:cs="Times New Roman"/>
          <w:b/>
          <w:color w:val="000000" w:themeColor="text1"/>
          <w:sz w:val="24"/>
        </w:rPr>
        <w:t>. S</w:t>
      </w:r>
      <w:r w:rsidR="002C566E" w:rsidRPr="006372C1">
        <w:rPr>
          <w:rFonts w:ascii="Times New Roman" w:hAnsi="Times New Roman" w:cs="Times New Roman"/>
          <w:b/>
          <w:color w:val="000000" w:themeColor="text1"/>
          <w:sz w:val="24"/>
        </w:rPr>
        <w:t>upaprastintos skelbiamos derybos</w:t>
      </w:r>
      <w:r w:rsidR="002C566E" w:rsidRPr="006372C1">
        <w:rPr>
          <w:rFonts w:ascii="Times New Roman" w:hAnsi="Times New Roman" w:cs="Times New Roman"/>
          <w:color w:val="000000" w:themeColor="text1"/>
          <w:sz w:val="24"/>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2C566E" w:rsidRPr="006372C1" w:rsidRDefault="007D0EE1" w:rsidP="00EF5218">
      <w:pPr>
        <w:widowControl/>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w:t>
      </w:r>
      <w:r w:rsidR="009D120A">
        <w:rPr>
          <w:rFonts w:ascii="Times New Roman" w:hAnsi="Times New Roman" w:cs="Times New Roman"/>
          <w:color w:val="000000" w:themeColor="text1"/>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Pr="006372C1">
        <w:rPr>
          <w:rFonts w:ascii="Times New Roman" w:hAnsi="Times New Roman" w:cs="Times New Roman"/>
          <w:b/>
          <w:color w:val="000000" w:themeColor="text1"/>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372C1">
        <w:rPr>
          <w:rFonts w:ascii="Times New Roman" w:hAnsi="Times New Roman" w:cs="Times New Roman"/>
          <w:b/>
          <w:color w:val="000000" w:themeColor="text1"/>
          <w:sz w:val="24"/>
        </w:rPr>
        <w:t>S</w:t>
      </w:r>
      <w:r w:rsidR="002C566E" w:rsidRPr="006372C1">
        <w:rPr>
          <w:rFonts w:ascii="Times New Roman" w:hAnsi="Times New Roman" w:cs="Times New Roman"/>
          <w:b/>
          <w:color w:val="000000" w:themeColor="text1"/>
          <w:sz w:val="24"/>
        </w:rPr>
        <w:t>upaprastintas projekto konkursas</w:t>
      </w:r>
      <w:r w:rsidR="002C566E" w:rsidRPr="006372C1">
        <w:rPr>
          <w:rFonts w:ascii="Times New Roman" w:hAnsi="Times New Roman" w:cs="Times New Roman"/>
          <w:color w:val="000000" w:themeColor="text1"/>
          <w:sz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2C566E" w:rsidRPr="006372C1" w:rsidRDefault="002C566E"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1F0E0A" w:rsidRPr="006372C1">
        <w:rPr>
          <w:rFonts w:ascii="Times New Roman" w:hAnsi="Times New Roman" w:cs="Times New Roman"/>
          <w:color w:val="000000" w:themeColor="text1"/>
          <w:sz w:val="24"/>
        </w:rPr>
        <w:t>3</w:t>
      </w:r>
      <w:r w:rsidRPr="006372C1">
        <w:rPr>
          <w:rFonts w:ascii="Times New Roman" w:hAnsi="Times New Roman" w:cs="Times New Roman"/>
          <w:color w:val="000000" w:themeColor="text1"/>
          <w:sz w:val="24"/>
        </w:rPr>
        <w:t>. Kitos Taisyklėse vartojamos pagrindinės sąvokos yra apibrėžtos Viešųjų pirkimų įstatyme.</w:t>
      </w:r>
    </w:p>
    <w:p w:rsidR="002C566E" w:rsidRPr="006372C1" w:rsidRDefault="002C566E"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lastRenderedPageBreak/>
        <w:t>1</w:t>
      </w:r>
      <w:r w:rsidR="001F0E0A" w:rsidRPr="006372C1">
        <w:rPr>
          <w:rFonts w:ascii="Times New Roman" w:hAnsi="Times New Roman" w:cs="Times New Roman"/>
          <w:color w:val="000000" w:themeColor="text1"/>
          <w:sz w:val="24"/>
        </w:rPr>
        <w:t>4</w:t>
      </w:r>
      <w:r w:rsidRPr="006372C1">
        <w:rPr>
          <w:rFonts w:ascii="Times New Roman" w:hAnsi="Times New Roman" w:cs="Times New Roman"/>
          <w:color w:val="000000" w:themeColor="text1"/>
          <w:sz w:val="24"/>
        </w:rPr>
        <w:t>. Jei yra prieštaravimų tarp šių Taisyklių ir Viešųjų pirkimų įstatymo bei kitų viešuosius pirkimus reglamentuojančių teisės aktų nuostatų, taikomos Viešųjų pirkimų įstatymo bei kitų viešuosius pirkimus reglamentuojančių teisės aktų nuostatos.</w:t>
      </w:r>
    </w:p>
    <w:p w:rsidR="002C566E" w:rsidRPr="006372C1" w:rsidRDefault="002C566E"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1F0E0A" w:rsidRPr="006372C1">
        <w:rPr>
          <w:rFonts w:ascii="Times New Roman" w:hAnsi="Times New Roman" w:cs="Times New Roman"/>
          <w:color w:val="000000" w:themeColor="text1"/>
          <w:sz w:val="24"/>
        </w:rPr>
        <w:t>5</w:t>
      </w:r>
      <w:r w:rsidRPr="006372C1">
        <w:rPr>
          <w:rFonts w:ascii="Times New Roman" w:hAnsi="Times New Roman" w:cs="Times New Roman"/>
          <w:color w:val="000000" w:themeColor="text1"/>
          <w:sz w:val="24"/>
        </w:rPr>
        <w:t>. Pasikeitus Taisyklėse minimiems teisės aktams ar rekomendacinio pobūdžio dokumentams, taikomos aktualios tų teisės aktų ar rekomendacinio pobūdžio dokumentų redakcijos nuostatos.</w:t>
      </w:r>
    </w:p>
    <w:p w:rsidR="00F1437E" w:rsidRPr="006372C1" w:rsidRDefault="00F1437E"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1F0E0A" w:rsidRPr="006372C1">
        <w:rPr>
          <w:rFonts w:ascii="Times New Roman" w:hAnsi="Times New Roman" w:cs="Times New Roman"/>
          <w:color w:val="000000" w:themeColor="text1"/>
          <w:sz w:val="24"/>
        </w:rPr>
        <w:t>6</w:t>
      </w:r>
      <w:r w:rsidRPr="006372C1">
        <w:rPr>
          <w:rFonts w:ascii="Times New Roman" w:hAnsi="Times New Roman" w:cs="Times New Roman"/>
          <w:color w:val="000000" w:themeColor="text1"/>
          <w:sz w:val="24"/>
        </w:rPr>
        <w:t>. Įsigaliojus naujiems Įstatymo pakeitimams, perkančioji organizacija privalo šių taisyklių nuostatas suderinti su aktualiais Įstatymo pakeitimais ir atnaujintas Taisykles paskelbti centrinėje viešųjų pirkimų informacinėje sistemoje.</w:t>
      </w:r>
    </w:p>
    <w:p w:rsidR="002C566E" w:rsidRPr="006372C1" w:rsidRDefault="002C566E" w:rsidP="00EF5218">
      <w:pPr>
        <w:widowControl/>
        <w:jc w:val="both"/>
        <w:rPr>
          <w:rFonts w:ascii="Times New Roman" w:hAnsi="Times New Roman" w:cs="Times New Roman"/>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II.</w:t>
      </w:r>
      <w:r w:rsidR="000F6799">
        <w:rPr>
          <w:rFonts w:ascii="Times New Roman" w:hAnsi="Times New Roman" w:cs="Times New Roman"/>
          <w:b/>
          <w:color w:val="000000" w:themeColor="text1"/>
          <w:sz w:val="24"/>
        </w:rPr>
        <w:t xml:space="preserve"> 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 SUPAPRASTINTŲ PIRKIMŲ PLANAVIMAS IR ORGANIZAVIMAS. SUPAPRASTINTUS PIRKIMUS ATLIEKANTYS ASMENYS</w:t>
      </w:r>
    </w:p>
    <w:p w:rsidR="002C566E" w:rsidRPr="006372C1" w:rsidRDefault="002C566E" w:rsidP="00EF5218">
      <w:pPr>
        <w:widowControl/>
        <w:ind w:firstLine="0"/>
        <w:jc w:val="center"/>
        <w:rPr>
          <w:rFonts w:ascii="Times New Roman" w:hAnsi="Times New Roman" w:cs="Times New Roman"/>
          <w:b/>
          <w:color w:val="000000" w:themeColor="text1"/>
          <w:sz w:val="24"/>
        </w:rPr>
      </w:pPr>
    </w:p>
    <w:p w:rsidR="002C566E" w:rsidRPr="006372C1" w:rsidRDefault="002C566E" w:rsidP="00EF5218">
      <w:pPr>
        <w:pStyle w:val="centrbold"/>
        <w:spacing w:before="0" w:beforeAutospacing="0" w:after="0" w:afterAutospacing="0"/>
        <w:ind w:firstLine="720"/>
        <w:jc w:val="both"/>
        <w:rPr>
          <w:color w:val="000000" w:themeColor="text1"/>
          <w:lang w:val="pt-BR"/>
        </w:rPr>
      </w:pPr>
      <w:r w:rsidRPr="006372C1">
        <w:rPr>
          <w:color w:val="000000" w:themeColor="text1"/>
          <w:lang w:val="pt-BR"/>
        </w:rPr>
        <w:t>1</w:t>
      </w:r>
      <w:r w:rsidR="001F0E0A" w:rsidRPr="006372C1">
        <w:rPr>
          <w:color w:val="000000" w:themeColor="text1"/>
          <w:lang w:val="pt-BR"/>
        </w:rPr>
        <w:t>7</w:t>
      </w:r>
      <w:r w:rsidRPr="006372C1">
        <w:rPr>
          <w:color w:val="000000" w:themeColor="text1"/>
          <w:lang w:val="pt-BR"/>
        </w:rPr>
        <w:t>. Supaprastintų pirkimų planavimas ir organizavimas vykdomas vadovaujantis Valstybinio socialinio draudimo fondo valdybos prie Socialinės apsaugos ir darb</w:t>
      </w:r>
      <w:r w:rsidR="00630583" w:rsidRPr="006372C1">
        <w:rPr>
          <w:color w:val="000000" w:themeColor="text1"/>
          <w:lang w:val="pt-BR"/>
        </w:rPr>
        <w:t>o ministerijos direktoriaus 2013-12-27</w:t>
      </w:r>
      <w:r w:rsidRPr="006372C1">
        <w:rPr>
          <w:color w:val="000000" w:themeColor="text1"/>
          <w:lang w:val="pt-BR"/>
        </w:rPr>
        <w:t xml:space="preserve"> įsakymu Nr. </w:t>
      </w:r>
      <w:r w:rsidR="00630583" w:rsidRPr="006372C1">
        <w:rPr>
          <w:color w:val="000000" w:themeColor="text1"/>
          <w:lang w:val="pt-BR"/>
        </w:rPr>
        <w:t>VE-256</w:t>
      </w:r>
      <w:r w:rsidRPr="006372C1">
        <w:rPr>
          <w:color w:val="000000" w:themeColor="text1"/>
          <w:lang w:val="pt-BR"/>
        </w:rPr>
        <w:t xml:space="preserve"> patvirtintu Prekių, paslaugų ir darbų viešųjų pirkimų planavimo, organizavimo ir vykdymo tvarkos aprašu</w:t>
      </w:r>
      <w:r w:rsidR="001D1BA5" w:rsidRPr="006372C1">
        <w:rPr>
          <w:color w:val="000000" w:themeColor="text1"/>
          <w:lang w:val="pt-BR"/>
        </w:rPr>
        <w:t xml:space="preserve"> ir Valstybinio socialinio draudimo fondo valdybos Utenos skyriaus direktoriaus </w:t>
      </w:r>
      <w:r w:rsidR="00A87832" w:rsidRPr="006372C1">
        <w:rPr>
          <w:color w:val="000000" w:themeColor="text1"/>
          <w:lang w:val="pt-BR"/>
        </w:rPr>
        <w:t xml:space="preserve">įsakymu </w:t>
      </w:r>
      <w:r w:rsidR="001D1BA5" w:rsidRPr="006372C1">
        <w:rPr>
          <w:color w:val="000000" w:themeColor="text1"/>
          <w:lang w:val="pt-BR"/>
        </w:rPr>
        <w:t>patvirtintu Viešųjų pirkimų organizavimo ir vykdymo tvarkos aprašu.</w:t>
      </w:r>
      <w:r w:rsidR="00630583" w:rsidRPr="006372C1">
        <w:rPr>
          <w:color w:val="000000" w:themeColor="text1"/>
          <w:lang w:val="pt-BR"/>
        </w:rPr>
        <w:t xml:space="preserve"> </w:t>
      </w:r>
    </w:p>
    <w:p w:rsidR="002C566E" w:rsidRPr="006372C1" w:rsidRDefault="002C566E" w:rsidP="00EF5218">
      <w:pPr>
        <w:tabs>
          <w:tab w:val="left" w:pos="54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1F0E0A"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 Supaprastintus pirkimus vykdo perkančiosios organizacijos vadovo įsakymu, vadovaujantis Viešųjų pirkimų įstatymo 16 straipsniu, sudaryta Viešojo pirkim</w:t>
      </w:r>
      <w:r w:rsidR="006E1E86" w:rsidRPr="006372C1">
        <w:rPr>
          <w:rFonts w:ascii="Times New Roman" w:hAnsi="Times New Roman" w:cs="Times New Roman"/>
          <w:color w:val="000000" w:themeColor="text1"/>
          <w:sz w:val="24"/>
        </w:rPr>
        <w:t xml:space="preserve">o komisija (toliau – Komisija) </w:t>
      </w:r>
      <w:r w:rsidRPr="006372C1">
        <w:rPr>
          <w:rFonts w:ascii="Times New Roman" w:hAnsi="Times New Roman" w:cs="Times New Roman"/>
          <w:iCs/>
          <w:color w:val="000000" w:themeColor="text1"/>
          <w:sz w:val="24"/>
        </w:rPr>
        <w:t xml:space="preserve">ar Pirkimų organizatorius. </w:t>
      </w:r>
      <w:r w:rsidRPr="006372C1">
        <w:rPr>
          <w:rFonts w:ascii="Times New Roman" w:hAnsi="Times New Roman" w:cs="Times New Roman"/>
          <w:color w:val="000000" w:themeColor="text1"/>
          <w:sz w:val="24"/>
        </w:rPr>
        <w:t>Komisijos pirmininku, pirmininko pavaduotoju, Komisijos nariais, Pirkimo organizatoriumi skiriami nepriekaištingos reputacijos asmenys. Komisijos sekretoriumi skiriamas vienas iš Komisijos narių.</w:t>
      </w:r>
      <w:r w:rsidR="00511157" w:rsidRPr="006372C1">
        <w:rPr>
          <w:rFonts w:ascii="Times New Roman" w:hAnsi="Times New Roman" w:cs="Times New Roman"/>
          <w:color w:val="000000" w:themeColor="text1"/>
          <w:sz w:val="24"/>
        </w:rPr>
        <w:t xml:space="preserve"> </w:t>
      </w:r>
    </w:p>
    <w:p w:rsidR="00994FD9" w:rsidRPr="006372C1" w:rsidRDefault="002C566E" w:rsidP="00F94EE2">
      <w:pPr>
        <w:tabs>
          <w:tab w:val="left" w:pos="540"/>
        </w:tabs>
        <w:ind w:firstLine="741"/>
        <w:jc w:val="both"/>
        <w:rPr>
          <w:rFonts w:ascii="Times New Roman" w:hAnsi="Times New Roman" w:cs="Times New Roman"/>
          <w:color w:val="000000" w:themeColor="text1"/>
          <w:sz w:val="24"/>
        </w:rPr>
      </w:pPr>
      <w:r w:rsidRPr="006372C1">
        <w:rPr>
          <w:rFonts w:ascii="Times New Roman" w:hAnsi="Times New Roman" w:cs="Times New Roman"/>
          <w:iCs/>
          <w:color w:val="000000" w:themeColor="text1"/>
          <w:sz w:val="24"/>
        </w:rPr>
        <w:t>1</w:t>
      </w:r>
      <w:r w:rsidR="001F0E0A" w:rsidRPr="006372C1">
        <w:rPr>
          <w:rFonts w:ascii="Times New Roman" w:hAnsi="Times New Roman" w:cs="Times New Roman"/>
          <w:iCs/>
          <w:color w:val="000000" w:themeColor="text1"/>
          <w:sz w:val="24"/>
        </w:rPr>
        <w:t>9</w:t>
      </w:r>
      <w:r w:rsidRPr="006372C1">
        <w:rPr>
          <w:rFonts w:ascii="Times New Roman" w:hAnsi="Times New Roman" w:cs="Times New Roman"/>
          <w:iCs/>
          <w:color w:val="000000" w:themeColor="text1"/>
          <w:sz w:val="24"/>
        </w:rPr>
        <w:t>.</w:t>
      </w:r>
      <w:r w:rsidR="001F0E0A" w:rsidRPr="006372C1">
        <w:rPr>
          <w:rFonts w:ascii="Times New Roman" w:hAnsi="Times New Roman" w:cs="Times New Roman"/>
          <w:iCs/>
          <w:color w:val="000000" w:themeColor="text1"/>
          <w:sz w:val="24"/>
        </w:rPr>
        <w:t xml:space="preserve"> </w:t>
      </w:r>
      <w:r w:rsidRPr="006372C1">
        <w:rPr>
          <w:rFonts w:ascii="Times New Roman" w:hAnsi="Times New Roman" w:cs="Times New Roman"/>
          <w:iCs/>
          <w:color w:val="000000" w:themeColor="text1"/>
          <w:sz w:val="24"/>
        </w:rPr>
        <w:t xml:space="preserve">Mažos vertės pirkimus vykdo </w:t>
      </w:r>
      <w:r w:rsidR="00C54A38" w:rsidRPr="006372C1">
        <w:rPr>
          <w:rFonts w:ascii="Times New Roman" w:hAnsi="Times New Roman" w:cs="Times New Roman"/>
          <w:iCs/>
          <w:color w:val="000000" w:themeColor="text1"/>
          <w:sz w:val="24"/>
        </w:rPr>
        <w:t>atlieka pirkimo organizatoriai.</w:t>
      </w:r>
      <w:r w:rsidR="00F94EE2" w:rsidRPr="006372C1">
        <w:rPr>
          <w:rFonts w:ascii="Times New Roman" w:hAnsi="Times New Roman" w:cs="Times New Roman"/>
          <w:color w:val="000000" w:themeColor="text1"/>
          <w:sz w:val="24"/>
        </w:rPr>
        <w:t xml:space="preserve"> </w:t>
      </w:r>
      <w:r w:rsidR="00994FD9" w:rsidRPr="006372C1">
        <w:rPr>
          <w:rFonts w:ascii="Times New Roman" w:hAnsi="Times New Roman" w:cs="Times New Roman"/>
          <w:iCs/>
          <w:color w:val="000000" w:themeColor="text1"/>
          <w:sz w:val="24"/>
        </w:rPr>
        <w:t xml:space="preserve">Perkančiosios organizacijos vadovas turi teisę priimti sprendimą pavesti </w:t>
      </w:r>
      <w:r w:rsidR="00F94EE2" w:rsidRPr="006372C1">
        <w:rPr>
          <w:rFonts w:ascii="Times New Roman" w:hAnsi="Times New Roman" w:cs="Times New Roman"/>
          <w:iCs/>
          <w:color w:val="000000" w:themeColor="text1"/>
          <w:sz w:val="24"/>
        </w:rPr>
        <w:t>mažos vertės</w:t>
      </w:r>
      <w:r w:rsidR="00994FD9" w:rsidRPr="006372C1">
        <w:rPr>
          <w:rFonts w:ascii="Times New Roman" w:hAnsi="Times New Roman" w:cs="Times New Roman"/>
          <w:iCs/>
          <w:color w:val="000000" w:themeColor="text1"/>
          <w:sz w:val="24"/>
        </w:rPr>
        <w:t xml:space="preserve"> pirkimą atlikti </w:t>
      </w:r>
      <w:r w:rsidR="003D0A57" w:rsidRPr="006372C1">
        <w:rPr>
          <w:rFonts w:ascii="Times New Roman" w:hAnsi="Times New Roman" w:cs="Times New Roman"/>
          <w:iCs/>
          <w:color w:val="000000" w:themeColor="text1"/>
          <w:sz w:val="24"/>
        </w:rPr>
        <w:t>K</w:t>
      </w:r>
      <w:r w:rsidR="00994FD9" w:rsidRPr="006372C1">
        <w:rPr>
          <w:rFonts w:ascii="Times New Roman" w:hAnsi="Times New Roman" w:cs="Times New Roman"/>
          <w:iCs/>
          <w:color w:val="000000" w:themeColor="text1"/>
          <w:sz w:val="24"/>
        </w:rPr>
        <w:t>omisijai</w:t>
      </w:r>
      <w:r w:rsidR="00F94EE2" w:rsidRPr="006372C1">
        <w:rPr>
          <w:rFonts w:ascii="Times New Roman" w:hAnsi="Times New Roman" w:cs="Times New Roman"/>
          <w:iCs/>
          <w:color w:val="000000" w:themeColor="text1"/>
          <w:sz w:val="24"/>
        </w:rPr>
        <w:t>.</w:t>
      </w:r>
    </w:p>
    <w:p w:rsidR="002C566E" w:rsidRPr="006372C1" w:rsidRDefault="001F0E0A" w:rsidP="00EF5218">
      <w:pPr>
        <w:tabs>
          <w:tab w:val="left" w:pos="540"/>
        </w:tabs>
        <w:jc w:val="both"/>
        <w:rPr>
          <w:rFonts w:ascii="Times New Roman" w:hAnsi="Times New Roman" w:cs="Times New Roman"/>
          <w:iCs/>
          <w:color w:val="000000" w:themeColor="text1"/>
          <w:sz w:val="24"/>
        </w:rPr>
      </w:pPr>
      <w:r w:rsidRPr="006372C1">
        <w:rPr>
          <w:rFonts w:ascii="Times New Roman" w:hAnsi="Times New Roman" w:cs="Times New Roman"/>
          <w:iCs/>
          <w:color w:val="000000" w:themeColor="text1"/>
          <w:sz w:val="24"/>
        </w:rPr>
        <w:t>20</w:t>
      </w:r>
      <w:r w:rsidR="002C566E" w:rsidRPr="006372C1">
        <w:rPr>
          <w:rFonts w:ascii="Times New Roman" w:hAnsi="Times New Roman" w:cs="Times New Roman"/>
          <w:iCs/>
          <w:color w:val="000000" w:themeColor="text1"/>
          <w:sz w:val="24"/>
        </w:rPr>
        <w:t xml:space="preserve">. Tuo pačiu metu atliekamiems keliems supaprastintiems pirkimams gali būti sudarytos kelios Komisijos. </w:t>
      </w:r>
      <w:r w:rsidR="002C566E" w:rsidRPr="006372C1">
        <w:rPr>
          <w:rFonts w:ascii="Times New Roman" w:hAnsi="Times New Roman" w:cs="Times New Roman"/>
          <w:color w:val="000000" w:themeColor="text1"/>
          <w:sz w:val="24"/>
        </w:rPr>
        <w:t>Jei supaprastinto projekto konkurso dalyviams keliami profesiniai reikalavimai, tai ne mažiau kaip trečdalis Komisijos narių turi būti tokios pačios arba artimos kvalifikacijos.</w:t>
      </w:r>
    </w:p>
    <w:p w:rsidR="002C566E" w:rsidRPr="006372C1" w:rsidRDefault="001F0E0A" w:rsidP="00EF5218">
      <w:pPr>
        <w:tabs>
          <w:tab w:val="left" w:pos="540"/>
        </w:tabs>
        <w:jc w:val="both"/>
        <w:rPr>
          <w:rFonts w:ascii="Times New Roman" w:hAnsi="Times New Roman" w:cs="Times New Roman"/>
          <w:iCs/>
          <w:color w:val="000000" w:themeColor="text1"/>
          <w:sz w:val="24"/>
        </w:rPr>
      </w:pPr>
      <w:r w:rsidRPr="006372C1">
        <w:rPr>
          <w:rFonts w:ascii="Times New Roman" w:hAnsi="Times New Roman" w:cs="Times New Roman"/>
          <w:color w:val="000000" w:themeColor="text1"/>
          <w:sz w:val="24"/>
        </w:rPr>
        <w:t>21</w:t>
      </w:r>
      <w:r w:rsidR="002C566E" w:rsidRPr="006372C1">
        <w:rPr>
          <w:rFonts w:ascii="Times New Roman" w:hAnsi="Times New Roman" w:cs="Times New Roman"/>
          <w:color w:val="000000" w:themeColor="text1"/>
          <w:sz w:val="24"/>
        </w:rPr>
        <w:t xml:space="preserve">. Komisija dirba pagal perkančiosios organizacijos vadovo </w:t>
      </w:r>
      <w:r w:rsidR="002C566E" w:rsidRPr="006372C1">
        <w:rPr>
          <w:rFonts w:ascii="Times New Roman" w:hAnsi="Times New Roman" w:cs="Times New Roman"/>
          <w:iCs/>
          <w:color w:val="000000" w:themeColor="text1"/>
          <w:sz w:val="24"/>
        </w:rPr>
        <w:t xml:space="preserve">patvirtintą </w:t>
      </w:r>
      <w:r w:rsidR="002C566E" w:rsidRPr="006372C1">
        <w:rPr>
          <w:rFonts w:ascii="Times New Roman" w:hAnsi="Times New Roman" w:cs="Times New Roman"/>
          <w:color w:val="000000" w:themeColor="text1"/>
          <w:sz w:val="24"/>
        </w:rPr>
        <w:t>Komisijos darbo reglamentą.</w:t>
      </w:r>
      <w:r w:rsidR="00511157" w:rsidRPr="006372C1">
        <w:rPr>
          <w:rFonts w:ascii="Times New Roman" w:hAnsi="Times New Roman" w:cs="Times New Roman"/>
          <w:color w:val="000000" w:themeColor="text1"/>
          <w:sz w:val="24"/>
        </w:rPr>
        <w:t xml:space="preserve"> </w:t>
      </w:r>
      <w:r w:rsidR="002C566E" w:rsidRPr="006372C1">
        <w:rPr>
          <w:rFonts w:ascii="Times New Roman" w:hAnsi="Times New Roman" w:cs="Times New Roman"/>
          <w:color w:val="000000" w:themeColor="text1"/>
          <w:sz w:val="24"/>
        </w:rPr>
        <w:t xml:space="preserve">Komisijai turi būti nustatytos užduotys ir suteikti visi užduotims vykdyti reikalingi įgaliojimai. Komisija sprendimus priima savarankiškai. Supaprastintus pirkimus vykdantys </w:t>
      </w:r>
      <w:r w:rsidR="002C566E" w:rsidRPr="006372C1">
        <w:rPr>
          <w:rFonts w:ascii="Times New Roman" w:hAnsi="Times New Roman" w:cs="Times New Roman"/>
          <w:iCs/>
          <w:color w:val="000000" w:themeColor="text1"/>
          <w:sz w:val="24"/>
        </w:rPr>
        <w:t>Komisijos nariai ir Pirkimo organizatorius turi būti pasirašę nešališkumo deklaraciją ir konfidencialumo pasižadėjimą.</w:t>
      </w:r>
    </w:p>
    <w:p w:rsidR="0068441E" w:rsidRPr="006372C1" w:rsidRDefault="001F0E0A" w:rsidP="00EF5218">
      <w:pPr>
        <w:tabs>
          <w:tab w:val="left" w:pos="540"/>
        </w:tabs>
        <w:jc w:val="both"/>
        <w:rPr>
          <w:rFonts w:ascii="Times New Roman" w:hAnsi="Times New Roman" w:cs="Times New Roman"/>
          <w:color w:val="000000" w:themeColor="text1"/>
          <w:sz w:val="24"/>
        </w:rPr>
      </w:pPr>
      <w:r w:rsidRPr="006372C1">
        <w:rPr>
          <w:rFonts w:ascii="Times New Roman" w:hAnsi="Times New Roman" w:cs="Times New Roman"/>
          <w:iCs/>
          <w:color w:val="000000" w:themeColor="text1"/>
          <w:sz w:val="24"/>
        </w:rPr>
        <w:t>22</w:t>
      </w:r>
      <w:r w:rsidR="0068441E" w:rsidRPr="006372C1">
        <w:rPr>
          <w:rFonts w:ascii="Times New Roman" w:hAnsi="Times New Roman" w:cs="Times New Roman"/>
          <w:iCs/>
          <w:color w:val="000000" w:themeColor="text1"/>
          <w:sz w:val="24"/>
        </w:rPr>
        <w:t>.</w:t>
      </w:r>
      <w:r w:rsidR="0068441E" w:rsidRPr="006372C1">
        <w:rPr>
          <w:rFonts w:ascii="Times New Roman" w:hAnsi="Times New Roman" w:cs="Times New Roman"/>
          <w:color w:val="000000" w:themeColor="text1"/>
          <w:sz w:val="24"/>
        </w:rPr>
        <w:t xml:space="preserve"> Komisija privalo vykdyti tik raštiškus Utenos skyriaus direktoriaus pavedimus.</w:t>
      </w:r>
    </w:p>
    <w:p w:rsidR="002C566E" w:rsidRPr="006372C1" w:rsidRDefault="001F0E0A" w:rsidP="00EF5218">
      <w:pPr>
        <w:tabs>
          <w:tab w:val="left" w:pos="54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23</w:t>
      </w:r>
      <w:r w:rsidR="002C566E" w:rsidRPr="006372C1">
        <w:rPr>
          <w:rFonts w:ascii="Times New Roman" w:hAnsi="Times New Roman" w:cs="Times New Roman"/>
          <w:color w:val="000000" w:themeColor="text1"/>
          <w:sz w:val="24"/>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ar Komisija.</w:t>
      </w:r>
    </w:p>
    <w:p w:rsidR="002C566E" w:rsidRPr="006372C1" w:rsidRDefault="001F0E0A" w:rsidP="00EF5218">
      <w:pPr>
        <w:tabs>
          <w:tab w:val="left" w:pos="54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24</w:t>
      </w:r>
      <w:r w:rsidR="002C566E" w:rsidRPr="006372C1">
        <w:rPr>
          <w:rFonts w:ascii="Times New Roman" w:hAnsi="Times New Roman" w:cs="Times New Roman"/>
          <w:color w:val="000000" w:themeColor="text1"/>
          <w:sz w:val="24"/>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2C566E" w:rsidRDefault="002C566E" w:rsidP="00D76C6F">
      <w:pPr>
        <w:jc w:val="both"/>
        <w:rPr>
          <w:rFonts w:ascii="Times New Roman" w:hAnsi="Times New Roman" w:cs="Times New Roman"/>
          <w:color w:val="000000" w:themeColor="text1"/>
          <w:sz w:val="24"/>
        </w:rPr>
      </w:pPr>
      <w:r w:rsidRPr="006372C1">
        <w:rPr>
          <w:rFonts w:ascii="Times New Roman" w:hAnsi="Times New Roman" w:cs="Times New Roman"/>
          <w:caps/>
          <w:color w:val="000000" w:themeColor="text1"/>
          <w:sz w:val="24"/>
        </w:rPr>
        <w:t>2</w:t>
      </w:r>
      <w:r w:rsidR="001F0E0A" w:rsidRPr="006372C1">
        <w:rPr>
          <w:rFonts w:ascii="Times New Roman" w:hAnsi="Times New Roman" w:cs="Times New Roman"/>
          <w:caps/>
          <w:color w:val="000000" w:themeColor="text1"/>
          <w:sz w:val="24"/>
        </w:rPr>
        <w:t>5</w:t>
      </w:r>
      <w:r w:rsidRPr="006372C1">
        <w:rPr>
          <w:rFonts w:ascii="Times New Roman" w:hAnsi="Times New Roman" w:cs="Times New Roman"/>
          <w:caps/>
          <w:color w:val="000000" w:themeColor="text1"/>
          <w:sz w:val="24"/>
        </w:rPr>
        <w:t>.</w:t>
      </w:r>
      <w:r w:rsidRPr="006372C1">
        <w:rPr>
          <w:rFonts w:ascii="Times New Roman" w:hAnsi="Times New Roman" w:cs="Times New Roman"/>
          <w:color w:val="000000" w:themeColor="text1"/>
          <w:sz w:val="24"/>
        </w:rPr>
        <w:t xml:space="preserve">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tarnybos sutikimas nereikalingas nutraukiant </w:t>
      </w:r>
      <w:r w:rsidR="009F441A" w:rsidRPr="006372C1">
        <w:rPr>
          <w:rFonts w:ascii="Times New Roman" w:hAnsi="Times New Roman" w:cs="Times New Roman"/>
          <w:color w:val="000000" w:themeColor="text1"/>
          <w:sz w:val="24"/>
        </w:rPr>
        <w:t xml:space="preserve"> neskelbiamų derybų būdu atliekamo pirkimo ir supaprastinto pirkimo procedūras.</w:t>
      </w:r>
      <w:r w:rsidR="00741810" w:rsidRPr="006372C1">
        <w:rPr>
          <w:rFonts w:ascii="Times New Roman" w:hAnsi="Times New Roman" w:cs="Times New Roman"/>
          <w:color w:val="000000" w:themeColor="text1"/>
          <w:sz w:val="24"/>
        </w:rPr>
        <w:t xml:space="preserve"> </w:t>
      </w:r>
      <w:r w:rsidRPr="006372C1">
        <w:rPr>
          <w:rFonts w:ascii="Times New Roman" w:hAnsi="Times New Roman" w:cs="Times New Roman"/>
          <w:color w:val="000000" w:themeColor="text1"/>
          <w:sz w:val="24"/>
        </w:rPr>
        <w:t>Nutraukti mažos vertės pirkimą gali Komisija arba pirkimo organizatorius, suderinę su pirkimo iniciatoriumi ir gavę perkančiosios organizacijos įgaliojimą (derinti ir gauti įgaliojimo nereikia, kai su tiekėjais bendraujama žodžiu).</w:t>
      </w:r>
    </w:p>
    <w:p w:rsidR="000F6799" w:rsidRPr="006372C1" w:rsidRDefault="000F6799" w:rsidP="00D76C6F">
      <w:pPr>
        <w:jc w:val="both"/>
        <w:rPr>
          <w:rFonts w:ascii="Times New Roman" w:hAnsi="Times New Roman" w:cs="Times New Roman"/>
          <w:color w:val="000000" w:themeColor="text1"/>
          <w:sz w:val="24"/>
        </w:rPr>
      </w:pPr>
    </w:p>
    <w:p w:rsidR="002C566E" w:rsidRPr="006372C1" w:rsidRDefault="002C566E" w:rsidP="00EF5218">
      <w:pPr>
        <w:widowControl/>
        <w:ind w:firstLine="0"/>
        <w:jc w:val="center"/>
        <w:rPr>
          <w:rFonts w:ascii="Times New Roman" w:hAnsi="Times New Roman" w:cs="Times New Roman"/>
          <w:b/>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lastRenderedPageBreak/>
        <w:t xml:space="preserve">III.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SUPAPRASTINTŲ PIRKIMŲ PASKELBIMAS</w:t>
      </w:r>
    </w:p>
    <w:p w:rsidR="002C566E" w:rsidRPr="006372C1" w:rsidRDefault="002C566E" w:rsidP="00EF5218">
      <w:pPr>
        <w:widowControl/>
        <w:tabs>
          <w:tab w:val="left" w:pos="566"/>
        </w:tabs>
        <w:jc w:val="both"/>
        <w:rPr>
          <w:rFonts w:ascii="Times New Roman" w:hAnsi="Times New Roman" w:cs="Times New Roman"/>
          <w:color w:val="000000" w:themeColor="text1"/>
          <w:sz w:val="24"/>
        </w:rPr>
      </w:pPr>
    </w:p>
    <w:p w:rsidR="002C566E" w:rsidRPr="006372C1" w:rsidRDefault="002C566E"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2</w:t>
      </w:r>
      <w:r w:rsidR="001F0E0A" w:rsidRPr="006372C1">
        <w:rPr>
          <w:rFonts w:ascii="Times New Roman" w:hAnsi="Times New Roman" w:cs="Times New Roman"/>
          <w:color w:val="000000" w:themeColor="text1"/>
          <w:sz w:val="24"/>
        </w:rPr>
        <w:t>6</w:t>
      </w:r>
      <w:r w:rsidRPr="006372C1">
        <w:rPr>
          <w:rFonts w:ascii="Times New Roman" w:hAnsi="Times New Roman" w:cs="Times New Roman"/>
          <w:color w:val="000000" w:themeColor="text1"/>
          <w:sz w:val="24"/>
        </w:rPr>
        <w:t>. Perkančioji organizacija skelbia apie kiekvieną supaprastintą pirkimą, išskyrus Taisyklėse nustatytus, atsižvelgiant į Viešųjų pirkimų įstatymo 92 straipsnio nuostatas, atvejus.</w:t>
      </w:r>
    </w:p>
    <w:p w:rsidR="005254E3" w:rsidRPr="006372C1" w:rsidRDefault="002C566E" w:rsidP="00724BC9">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2</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Perkančioji organizacija apie supaprastintą pirkimą</w:t>
      </w:r>
      <w:r w:rsidR="00AE32E2" w:rsidRPr="006372C1">
        <w:rPr>
          <w:rFonts w:ascii="Times New Roman" w:hAnsi="Times New Roman" w:cs="Times New Roman"/>
          <w:color w:val="000000" w:themeColor="text1"/>
          <w:sz w:val="24"/>
        </w:rPr>
        <w:t xml:space="preserve">, informacinį pranešimą neskelbiamų supaprastintų pirkimų atveju, pranešimą dėl savarankiško </w:t>
      </w:r>
      <w:proofErr w:type="spellStart"/>
      <w:r w:rsidR="00AE32E2" w:rsidRPr="006372C1">
        <w:rPr>
          <w:rFonts w:ascii="Times New Roman" w:hAnsi="Times New Roman" w:cs="Times New Roman"/>
          <w:color w:val="000000" w:themeColor="text1"/>
          <w:sz w:val="24"/>
        </w:rPr>
        <w:t>ex</w:t>
      </w:r>
      <w:proofErr w:type="spellEnd"/>
      <w:r w:rsidR="00AE32E2" w:rsidRPr="006372C1">
        <w:rPr>
          <w:rFonts w:ascii="Times New Roman" w:hAnsi="Times New Roman" w:cs="Times New Roman"/>
          <w:color w:val="000000" w:themeColor="text1"/>
          <w:sz w:val="24"/>
        </w:rPr>
        <w:t xml:space="preserve"> </w:t>
      </w:r>
      <w:proofErr w:type="spellStart"/>
      <w:r w:rsidR="00AE32E2" w:rsidRPr="006372C1">
        <w:rPr>
          <w:rFonts w:ascii="Times New Roman" w:hAnsi="Times New Roman" w:cs="Times New Roman"/>
          <w:color w:val="000000" w:themeColor="text1"/>
          <w:sz w:val="24"/>
        </w:rPr>
        <w:t>ante</w:t>
      </w:r>
      <w:proofErr w:type="spellEnd"/>
      <w:r w:rsidR="00AE32E2" w:rsidRPr="006372C1">
        <w:rPr>
          <w:rFonts w:ascii="Times New Roman" w:hAnsi="Times New Roman" w:cs="Times New Roman"/>
          <w:color w:val="000000" w:themeColor="text1"/>
          <w:sz w:val="24"/>
        </w:rPr>
        <w:t xml:space="preserve"> skaidrumo ir skelbimą apie sudarytą pirkimo sutartį ar preliminariąją sutartį skelbia Viešųjų pirkimų įstatymo 86 straipsnyje ir Taisyklėse nustatyta tvarka. </w:t>
      </w:r>
    </w:p>
    <w:p w:rsidR="00724BC9" w:rsidRPr="006372C1" w:rsidRDefault="0068441E" w:rsidP="00724BC9">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2</w:t>
      </w:r>
      <w:r w:rsidR="001F0E0A"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w:t>
      </w:r>
      <w:r w:rsidR="0092282F" w:rsidRPr="006372C1">
        <w:rPr>
          <w:rFonts w:ascii="Times New Roman" w:hAnsi="Times New Roman" w:cs="Times New Roman"/>
          <w:color w:val="000000" w:themeColor="text1"/>
          <w:sz w:val="24"/>
        </w:rPr>
        <w:t xml:space="preserve"> </w:t>
      </w:r>
      <w:r w:rsidR="004B5877" w:rsidRPr="006372C1">
        <w:rPr>
          <w:rFonts w:ascii="Times New Roman" w:hAnsi="Times New Roman" w:cs="Times New Roman"/>
          <w:color w:val="000000" w:themeColor="text1"/>
          <w:sz w:val="24"/>
        </w:rPr>
        <w:t xml:space="preserve">Jei yra nusprendžiama paskelbti Viešųjų pirkimų įstatymo 92 straipsnio 8 dalyje nurodytą informacinį pranešimą ar pranešimą dėl savanoriško </w:t>
      </w:r>
      <w:proofErr w:type="spellStart"/>
      <w:r w:rsidR="004B5877" w:rsidRPr="006372C1">
        <w:rPr>
          <w:rFonts w:ascii="Times New Roman" w:hAnsi="Times New Roman" w:cs="Times New Roman"/>
          <w:color w:val="000000" w:themeColor="text1"/>
          <w:sz w:val="24"/>
        </w:rPr>
        <w:t>ex</w:t>
      </w:r>
      <w:proofErr w:type="spellEnd"/>
      <w:r w:rsidR="004B5877" w:rsidRPr="006372C1">
        <w:rPr>
          <w:rFonts w:ascii="Times New Roman" w:hAnsi="Times New Roman" w:cs="Times New Roman"/>
          <w:color w:val="000000" w:themeColor="text1"/>
          <w:sz w:val="24"/>
        </w:rPr>
        <w:t xml:space="preserve"> </w:t>
      </w:r>
      <w:proofErr w:type="spellStart"/>
      <w:r w:rsidR="004B5877" w:rsidRPr="006372C1">
        <w:rPr>
          <w:rFonts w:ascii="Times New Roman" w:hAnsi="Times New Roman" w:cs="Times New Roman"/>
          <w:color w:val="000000" w:themeColor="text1"/>
          <w:sz w:val="24"/>
        </w:rPr>
        <w:t>ante</w:t>
      </w:r>
      <w:proofErr w:type="spellEnd"/>
      <w:r w:rsidR="004B5877" w:rsidRPr="006372C1">
        <w:rPr>
          <w:rFonts w:ascii="Times New Roman" w:hAnsi="Times New Roman" w:cs="Times New Roman"/>
          <w:color w:val="000000" w:themeColor="text1"/>
          <w:sz w:val="24"/>
        </w:rPr>
        <w:t xml:space="preserve"> skaidrumo, tokie pranešimai yra skelbiami Viešųjų pirkimų įstatymo 86 straipsnyje nustatyta tvarka. </w:t>
      </w:r>
      <w:r w:rsidR="00950A87" w:rsidRPr="006372C1">
        <w:rPr>
          <w:rFonts w:ascii="Times New Roman" w:hAnsi="Times New Roman" w:cs="Times New Roman"/>
          <w:color w:val="000000" w:themeColor="text1"/>
          <w:sz w:val="24"/>
        </w:rPr>
        <w:t>Perkančioji organizacija leidinio ,,Valstybės žinios“ priede ,,Informaciniai pranešimai“ informuoja apie pradedamą bet kurį pirkimą (išskyrus mažos vertės pirkimus), taip pat nustatytą laimėtoją ir ketinamą sudaryti bei sudarytą pirkimo sutartį.</w:t>
      </w:r>
      <w:r w:rsidR="00992C8F" w:rsidRPr="006372C1">
        <w:rPr>
          <w:rFonts w:ascii="Times New Roman" w:hAnsi="Times New Roman" w:cs="Times New Roman"/>
          <w:color w:val="000000" w:themeColor="text1"/>
          <w:sz w:val="24"/>
        </w:rPr>
        <w:t xml:space="preserve"> </w:t>
      </w:r>
      <w:r w:rsidR="00992C8F" w:rsidRPr="006372C1">
        <w:rPr>
          <w:rFonts w:ascii="Times New Roman" w:hAnsi="Times New Roman" w:cs="Times New Roman"/>
          <w:color w:val="000000" w:themeColor="text1"/>
          <w:sz w:val="24"/>
          <w:lang w:eastAsia="sl-SI"/>
        </w:rPr>
        <w:t xml:space="preserve">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00992C8F" w:rsidRPr="006372C1">
        <w:rPr>
          <w:rFonts w:ascii="Times New Roman" w:hAnsi="Times New Roman" w:cs="Times New Roman"/>
          <w:i/>
          <w:color w:val="000000" w:themeColor="text1"/>
          <w:sz w:val="24"/>
          <w:lang w:eastAsia="sl-SI"/>
        </w:rPr>
        <w:t>ex</w:t>
      </w:r>
      <w:proofErr w:type="spellEnd"/>
      <w:r w:rsidR="00992C8F" w:rsidRPr="006372C1">
        <w:rPr>
          <w:rFonts w:ascii="Times New Roman" w:hAnsi="Times New Roman" w:cs="Times New Roman"/>
          <w:i/>
          <w:color w:val="000000" w:themeColor="text1"/>
          <w:sz w:val="24"/>
          <w:lang w:eastAsia="sl-SI"/>
        </w:rPr>
        <w:t xml:space="preserve"> </w:t>
      </w:r>
      <w:proofErr w:type="spellStart"/>
      <w:r w:rsidR="00992C8F" w:rsidRPr="006372C1">
        <w:rPr>
          <w:rFonts w:ascii="Times New Roman" w:hAnsi="Times New Roman" w:cs="Times New Roman"/>
          <w:i/>
          <w:color w:val="000000" w:themeColor="text1"/>
          <w:sz w:val="24"/>
          <w:lang w:eastAsia="sl-SI"/>
        </w:rPr>
        <w:t>ante</w:t>
      </w:r>
      <w:proofErr w:type="spellEnd"/>
      <w:r w:rsidR="00992C8F" w:rsidRPr="006372C1">
        <w:rPr>
          <w:rFonts w:ascii="Times New Roman" w:hAnsi="Times New Roman" w:cs="Times New Roman"/>
          <w:color w:val="000000" w:themeColor="text1"/>
          <w:sz w:val="24"/>
          <w:lang w:eastAsia="sl-SI"/>
        </w:rPr>
        <w:t xml:space="preserve"> skaidrumo. Tokiu atveju Viešųjų pirkimų įstatymo 92 straipsnio 8 dalyje nurodytas informacinis pranešimas neskelbiamas.</w:t>
      </w:r>
    </w:p>
    <w:p w:rsidR="00D72C6D" w:rsidRPr="006372C1" w:rsidRDefault="004B5877" w:rsidP="00724BC9">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2</w:t>
      </w:r>
      <w:r w:rsidR="001F0E0A"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xml:space="preserve">. </w:t>
      </w:r>
      <w:r w:rsidR="00950A87" w:rsidRPr="006372C1">
        <w:rPr>
          <w:rFonts w:ascii="Times New Roman" w:hAnsi="Times New Roman" w:cs="Times New Roman"/>
          <w:color w:val="000000" w:themeColor="text1"/>
          <w:sz w:val="24"/>
        </w:rPr>
        <w:t>Visus skelbimus ir informacinius pranešimus perkančioji organizacija pateikia Viešųjų pirkimų tarnybai pagal jos nustatytus privalomuosius skelbiamos informacijos reikalavimus, standartines formas bei skelbimų teikimo tvarką. Papildomai skelbimai ir informaciniai pranešimai gali būti skelbiami kitose interneto svetainėse, leidiniuose ar kitomis priemonėmis. Perkančioji organizacija užtikrina, kad šie skelbimai ir informaciniai pranešimai būtų pask</w:t>
      </w:r>
      <w:r w:rsidR="00AC634D" w:rsidRPr="006372C1">
        <w:rPr>
          <w:rFonts w:ascii="Times New Roman" w:hAnsi="Times New Roman" w:cs="Times New Roman"/>
          <w:color w:val="000000" w:themeColor="text1"/>
          <w:sz w:val="24"/>
        </w:rPr>
        <w:t>e</w:t>
      </w:r>
      <w:r w:rsidR="00950A87" w:rsidRPr="006372C1">
        <w:rPr>
          <w:rFonts w:ascii="Times New Roman" w:hAnsi="Times New Roman" w:cs="Times New Roman"/>
          <w:color w:val="000000" w:themeColor="text1"/>
          <w:sz w:val="24"/>
        </w:rPr>
        <w:t xml:space="preserve">lbti ne anksčiau negu </w:t>
      </w:r>
      <w:r w:rsidR="00AC634D" w:rsidRPr="006372C1">
        <w:rPr>
          <w:rFonts w:ascii="Times New Roman" w:hAnsi="Times New Roman" w:cs="Times New Roman"/>
          <w:color w:val="000000" w:themeColor="text1"/>
          <w:sz w:val="24"/>
        </w:rPr>
        <w:t>,,Valstybės žinių“ priede ,,Informaciniai pranešimai“, CVP IS, o to paties skelbimo turinys visur būtų tapatus. Už skelbimo ir informacinio pranešimo turinį atsakinga perkančioji organizacija.</w:t>
      </w:r>
    </w:p>
    <w:p w:rsidR="00AC634D" w:rsidRPr="006372C1" w:rsidRDefault="001F0E0A" w:rsidP="00724BC9">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30</w:t>
      </w:r>
      <w:r w:rsidR="00AC634D" w:rsidRPr="006372C1">
        <w:rPr>
          <w:rFonts w:ascii="Times New Roman" w:hAnsi="Times New Roman" w:cs="Times New Roman"/>
          <w:color w:val="000000" w:themeColor="text1"/>
          <w:sz w:val="24"/>
        </w:rPr>
        <w:t xml:space="preserve">.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w:t>
      </w:r>
      <w:r w:rsidR="00BE1F56" w:rsidRPr="006372C1">
        <w:rPr>
          <w:rFonts w:ascii="Times New Roman" w:hAnsi="Times New Roman" w:cs="Times New Roman"/>
          <w:color w:val="000000" w:themeColor="text1"/>
          <w:sz w:val="24"/>
        </w:rPr>
        <w:t xml:space="preserve">dienas </w:t>
      </w:r>
      <w:r w:rsidR="00AC634D" w:rsidRPr="006372C1">
        <w:rPr>
          <w:rFonts w:ascii="Times New Roman" w:hAnsi="Times New Roman" w:cs="Times New Roman"/>
          <w:color w:val="000000" w:themeColor="text1"/>
          <w:sz w:val="24"/>
        </w:rPr>
        <w:t>po pirkimo sutarties ar preliminariosios</w:t>
      </w:r>
      <w:r w:rsidR="00C40BC5" w:rsidRPr="006372C1">
        <w:rPr>
          <w:rFonts w:ascii="Times New Roman" w:hAnsi="Times New Roman" w:cs="Times New Roman"/>
          <w:color w:val="000000" w:themeColor="text1"/>
          <w:sz w:val="24"/>
        </w:rPr>
        <w:t xml:space="preserve"> sutarties sudarymo Viešųjų pirkimų tarnybai </w:t>
      </w:r>
      <w:r w:rsidR="00323282" w:rsidRPr="006372C1">
        <w:rPr>
          <w:rFonts w:ascii="Times New Roman" w:hAnsi="Times New Roman" w:cs="Times New Roman"/>
          <w:color w:val="000000" w:themeColor="text1"/>
          <w:sz w:val="24"/>
        </w:rPr>
        <w:t xml:space="preserve"> jos nustatyta tvarka </w:t>
      </w:r>
      <w:r w:rsidR="00C40BC5" w:rsidRPr="006372C1">
        <w:rPr>
          <w:rFonts w:ascii="Times New Roman" w:hAnsi="Times New Roman" w:cs="Times New Roman"/>
          <w:color w:val="000000" w:themeColor="text1"/>
          <w:sz w:val="24"/>
        </w:rPr>
        <w:t>pateikia skelbimą apie sudarytą pirkimo sutartį ar preliminariąją sutartį, skelbime nurodydama, ar ji sutinka, kad skelbimas būtų p</w:t>
      </w:r>
      <w:r w:rsidR="00D72C6D" w:rsidRPr="006372C1">
        <w:rPr>
          <w:rFonts w:ascii="Times New Roman" w:hAnsi="Times New Roman" w:cs="Times New Roman"/>
          <w:color w:val="000000" w:themeColor="text1"/>
          <w:sz w:val="24"/>
        </w:rPr>
        <w:t>a</w:t>
      </w:r>
      <w:r w:rsidR="00C40BC5" w:rsidRPr="006372C1">
        <w:rPr>
          <w:rFonts w:ascii="Times New Roman" w:hAnsi="Times New Roman" w:cs="Times New Roman"/>
          <w:color w:val="000000" w:themeColor="text1"/>
          <w:sz w:val="24"/>
        </w:rPr>
        <w:t>skelbtas.</w:t>
      </w:r>
      <w:r w:rsidR="00323282" w:rsidRPr="006372C1">
        <w:rPr>
          <w:rFonts w:ascii="Times New Roman" w:hAnsi="Times New Roman" w:cs="Times New Roman"/>
          <w:color w:val="000000" w:themeColor="text1"/>
          <w:sz w:val="24"/>
        </w:rPr>
        <w:t xml:space="preserve"> Teikiant šį skelbimą, vadovaujamasi Viešųjų pirkimų įstatymo 22 straipsnio 6 ir 7 dalyse nustatytais reikalavimais.</w:t>
      </w:r>
    </w:p>
    <w:p w:rsidR="00892611" w:rsidRPr="006372C1" w:rsidRDefault="001F0E0A" w:rsidP="00741810">
      <w:pPr>
        <w:pStyle w:val="Betarp"/>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31</w:t>
      </w:r>
      <w:r w:rsidR="00892611" w:rsidRPr="006372C1">
        <w:rPr>
          <w:rFonts w:ascii="Times New Roman" w:hAnsi="Times New Roman" w:cs="Times New Roman"/>
          <w:color w:val="000000" w:themeColor="text1"/>
          <w:sz w:val="24"/>
        </w:rPr>
        <w:t xml:space="preserve">.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w:t>
      </w:r>
      <w:proofErr w:type="spellStart"/>
      <w:r w:rsidR="003F033E" w:rsidRPr="006372C1">
        <w:rPr>
          <w:rFonts w:ascii="Times New Roman" w:hAnsi="Times New Roman" w:cs="Times New Roman"/>
          <w:color w:val="000000" w:themeColor="text1"/>
          <w:sz w:val="24"/>
        </w:rPr>
        <w:t>www.sodra.lt</w:t>
      </w:r>
      <w:proofErr w:type="spellEnd"/>
      <w:r w:rsidR="00892611" w:rsidRPr="006372C1">
        <w:rPr>
          <w:rFonts w:ascii="Times New Roman" w:hAnsi="Times New Roman" w:cs="Times New Roman"/>
          <w:color w:val="000000" w:themeColor="text1"/>
          <w:sz w:val="24"/>
        </w:rPr>
        <w:t xml:space="preserve"> tinklalapyje bei leidinio „Valstybės žinios“ priede „Informaciniai pranešimai“ (mažos vertės pirkimų atveju – tik </w:t>
      </w:r>
      <w:proofErr w:type="spellStart"/>
      <w:r w:rsidR="003F033E" w:rsidRPr="006372C1">
        <w:rPr>
          <w:rFonts w:ascii="Times New Roman" w:hAnsi="Times New Roman" w:cs="Times New Roman"/>
          <w:color w:val="000000" w:themeColor="text1"/>
          <w:sz w:val="24"/>
        </w:rPr>
        <w:t>www.sodra.lt</w:t>
      </w:r>
      <w:proofErr w:type="spellEnd"/>
      <w:r w:rsidR="00892611" w:rsidRPr="006372C1">
        <w:rPr>
          <w:rFonts w:ascii="Times New Roman" w:hAnsi="Times New Roman" w:cs="Times New Roman"/>
          <w:color w:val="000000" w:themeColor="text1"/>
          <w:sz w:val="24"/>
        </w:rPr>
        <w:t xml:space="preserve"> tinklalapyje)</w:t>
      </w:r>
      <w:r w:rsidR="002845E2" w:rsidRPr="006372C1">
        <w:rPr>
          <w:rFonts w:ascii="Times New Roman" w:hAnsi="Times New Roman" w:cs="Times New Roman"/>
          <w:color w:val="000000" w:themeColor="text1"/>
          <w:sz w:val="24"/>
        </w:rPr>
        <w:t xml:space="preserve">, vadovaudamasi </w:t>
      </w:r>
      <w:r w:rsidR="002845E2" w:rsidRPr="006372C1">
        <w:rPr>
          <w:rFonts w:ascii="Times New Roman" w:hAnsi="Times New Roman" w:cs="Times New Roman"/>
          <w:color w:val="000000" w:themeColor="text1"/>
          <w:sz w:val="24"/>
          <w:lang w:eastAsia="sl-SI"/>
        </w:rPr>
        <w:t xml:space="preserve">skelbimų teikimo valstybės įmonei Seimo leidyklai „Valstybės žinios“ tvarka, patvirtinta VĮ Seimo leidyklos „Valstybės žinios“ direktoriaus 2011 m. gruodžio 27 d. įsakymu Nr. VĮ-11-22 </w:t>
      </w:r>
      <w:r w:rsidR="002845E2" w:rsidRPr="006372C1">
        <w:rPr>
          <w:rFonts w:ascii="Times New Roman" w:hAnsi="Times New Roman" w:cs="Times New Roman"/>
          <w:color w:val="000000" w:themeColor="text1"/>
          <w:sz w:val="24"/>
        </w:rPr>
        <w:t xml:space="preserve">„Dėl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 ir </w:t>
      </w:r>
      <w:r w:rsidR="00892611" w:rsidRPr="006372C1">
        <w:rPr>
          <w:rFonts w:ascii="Times New Roman" w:hAnsi="Times New Roman" w:cs="Times New Roman"/>
          <w:color w:val="000000" w:themeColor="text1"/>
          <w:sz w:val="24"/>
        </w:rPr>
        <w:t xml:space="preserve"> nurodydama:</w:t>
      </w:r>
    </w:p>
    <w:p w:rsidR="00892611" w:rsidRPr="006372C1" w:rsidRDefault="001F0E0A" w:rsidP="00741810">
      <w:pPr>
        <w:pStyle w:val="Betarp"/>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31.1.</w:t>
      </w:r>
      <w:r w:rsidR="00892611" w:rsidRPr="006372C1">
        <w:rPr>
          <w:rFonts w:ascii="Times New Roman" w:hAnsi="Times New Roman" w:cs="Times New Roman"/>
          <w:color w:val="000000" w:themeColor="text1"/>
          <w:sz w:val="24"/>
        </w:rPr>
        <w:t xml:space="preserve"> apie pradedamą pirkimą – pirkimo objektą, pirkimo būdą ir jo pasirinkimo priežastis;</w:t>
      </w:r>
    </w:p>
    <w:p w:rsidR="00892611" w:rsidRPr="006372C1" w:rsidRDefault="001F0E0A" w:rsidP="00741810">
      <w:pPr>
        <w:pStyle w:val="Betarp"/>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31</w:t>
      </w:r>
      <w:r w:rsidR="0025618B" w:rsidRPr="006372C1">
        <w:rPr>
          <w:rFonts w:ascii="Times New Roman" w:hAnsi="Times New Roman" w:cs="Times New Roman"/>
          <w:color w:val="000000" w:themeColor="text1"/>
          <w:sz w:val="24"/>
        </w:rPr>
        <w:t>.2.</w:t>
      </w:r>
      <w:r w:rsidR="00892611" w:rsidRPr="006372C1">
        <w:rPr>
          <w:rFonts w:ascii="Times New Roman" w:hAnsi="Times New Roman" w:cs="Times New Roman"/>
          <w:color w:val="000000" w:themeColor="text1"/>
          <w:sz w:val="24"/>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00892611" w:rsidRPr="006372C1">
        <w:rPr>
          <w:rFonts w:ascii="Times New Roman" w:hAnsi="Times New Roman" w:cs="Times New Roman"/>
          <w:color w:val="000000" w:themeColor="text1"/>
          <w:sz w:val="24"/>
        </w:rPr>
        <w:t>subtiekėjus</w:t>
      </w:r>
      <w:proofErr w:type="spellEnd"/>
      <w:r w:rsidR="00892611" w:rsidRPr="006372C1">
        <w:rPr>
          <w:rFonts w:ascii="Times New Roman" w:hAnsi="Times New Roman" w:cs="Times New Roman"/>
          <w:color w:val="000000" w:themeColor="text1"/>
          <w:sz w:val="24"/>
        </w:rPr>
        <w:t xml:space="preserve"> ar </w:t>
      </w:r>
      <w:proofErr w:type="spellStart"/>
      <w:r w:rsidR="00892611" w:rsidRPr="006372C1">
        <w:rPr>
          <w:rFonts w:ascii="Times New Roman" w:hAnsi="Times New Roman" w:cs="Times New Roman"/>
          <w:color w:val="000000" w:themeColor="text1"/>
          <w:sz w:val="24"/>
        </w:rPr>
        <w:t>subteikėjus</w:t>
      </w:r>
      <w:proofErr w:type="spellEnd"/>
      <w:r w:rsidR="00892611" w:rsidRPr="006372C1">
        <w:rPr>
          <w:rFonts w:ascii="Times New Roman" w:hAnsi="Times New Roman" w:cs="Times New Roman"/>
          <w:color w:val="000000" w:themeColor="text1"/>
          <w:sz w:val="24"/>
        </w:rPr>
        <w:t>;</w:t>
      </w:r>
    </w:p>
    <w:p w:rsidR="00892611" w:rsidRPr="006372C1" w:rsidRDefault="001F0E0A" w:rsidP="00741810">
      <w:pPr>
        <w:pStyle w:val="Betarp"/>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31</w:t>
      </w:r>
      <w:r w:rsidR="0025618B" w:rsidRPr="006372C1">
        <w:rPr>
          <w:rFonts w:ascii="Times New Roman" w:hAnsi="Times New Roman" w:cs="Times New Roman"/>
          <w:color w:val="000000" w:themeColor="text1"/>
          <w:sz w:val="24"/>
        </w:rPr>
        <w:t xml:space="preserve">.3. </w:t>
      </w:r>
      <w:r w:rsidR="00892611" w:rsidRPr="006372C1">
        <w:rPr>
          <w:rFonts w:ascii="Times New Roman" w:hAnsi="Times New Roman" w:cs="Times New Roman"/>
          <w:color w:val="000000" w:themeColor="text1"/>
          <w:sz w:val="24"/>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00892611" w:rsidRPr="006372C1">
        <w:rPr>
          <w:rFonts w:ascii="Times New Roman" w:hAnsi="Times New Roman" w:cs="Times New Roman"/>
          <w:color w:val="000000" w:themeColor="text1"/>
          <w:sz w:val="24"/>
        </w:rPr>
        <w:t>subtiekėjus</w:t>
      </w:r>
      <w:proofErr w:type="spellEnd"/>
      <w:r w:rsidR="00892611" w:rsidRPr="006372C1">
        <w:rPr>
          <w:rFonts w:ascii="Times New Roman" w:hAnsi="Times New Roman" w:cs="Times New Roman"/>
          <w:color w:val="000000" w:themeColor="text1"/>
          <w:sz w:val="24"/>
        </w:rPr>
        <w:t xml:space="preserve"> ar </w:t>
      </w:r>
      <w:proofErr w:type="spellStart"/>
      <w:r w:rsidR="00892611" w:rsidRPr="006372C1">
        <w:rPr>
          <w:rFonts w:ascii="Times New Roman" w:hAnsi="Times New Roman" w:cs="Times New Roman"/>
          <w:color w:val="000000" w:themeColor="text1"/>
          <w:sz w:val="24"/>
        </w:rPr>
        <w:t>subteikėjus</w:t>
      </w:r>
      <w:proofErr w:type="spellEnd"/>
      <w:r w:rsidR="00892611" w:rsidRPr="006372C1">
        <w:rPr>
          <w:rFonts w:ascii="Times New Roman" w:hAnsi="Times New Roman" w:cs="Times New Roman"/>
          <w:color w:val="000000" w:themeColor="text1"/>
          <w:sz w:val="24"/>
        </w:rPr>
        <w:t>;</w:t>
      </w:r>
    </w:p>
    <w:p w:rsidR="005254E3" w:rsidRPr="006372C1" w:rsidRDefault="001F0E0A" w:rsidP="002145F3">
      <w:pPr>
        <w:pStyle w:val="Betarp"/>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lastRenderedPageBreak/>
        <w:t>31</w:t>
      </w:r>
      <w:r w:rsidR="0025618B" w:rsidRPr="006372C1">
        <w:rPr>
          <w:rFonts w:ascii="Times New Roman" w:hAnsi="Times New Roman" w:cs="Times New Roman"/>
          <w:color w:val="000000" w:themeColor="text1"/>
          <w:sz w:val="24"/>
        </w:rPr>
        <w:t xml:space="preserve">.4. </w:t>
      </w:r>
      <w:r w:rsidR="00892611" w:rsidRPr="006372C1">
        <w:rPr>
          <w:rFonts w:ascii="Times New Roman" w:hAnsi="Times New Roman" w:cs="Times New Roman"/>
          <w:color w:val="000000" w:themeColor="text1"/>
          <w:sz w:val="24"/>
        </w:rPr>
        <w:t xml:space="preserve"> taip pat kitą Viešųjų pirkimų tarnybos nustatytą informaciją.</w:t>
      </w:r>
      <w:bookmarkStart w:id="1" w:name="p_4_2"/>
      <w:bookmarkEnd w:id="1"/>
      <w:r w:rsidR="00741810" w:rsidRPr="006372C1">
        <w:rPr>
          <w:rFonts w:ascii="Times New Roman" w:hAnsi="Times New Roman" w:cs="Times New Roman"/>
          <w:color w:val="000000" w:themeColor="text1"/>
          <w:sz w:val="24"/>
        </w:rPr>
        <w:t xml:space="preserve"> </w:t>
      </w:r>
    </w:p>
    <w:p w:rsidR="00F1437E" w:rsidRPr="006372C1" w:rsidRDefault="00F1437E" w:rsidP="00EF5218">
      <w:pPr>
        <w:widowControl/>
        <w:tabs>
          <w:tab w:val="left" w:pos="566"/>
        </w:tabs>
        <w:jc w:val="both"/>
        <w:rPr>
          <w:rFonts w:ascii="Times New Roman" w:hAnsi="Times New Roman" w:cs="Times New Roman"/>
          <w:color w:val="000000" w:themeColor="text1"/>
          <w:sz w:val="24"/>
        </w:rPr>
      </w:pPr>
    </w:p>
    <w:p w:rsidR="002C566E" w:rsidRPr="006372C1" w:rsidRDefault="002C566E" w:rsidP="00EF5218">
      <w:pPr>
        <w:widowControl/>
        <w:jc w:val="both"/>
        <w:rPr>
          <w:rFonts w:ascii="Times New Roman" w:hAnsi="Times New Roman" w:cs="Times New Roman"/>
          <w:color w:val="000000" w:themeColor="text1"/>
          <w:sz w:val="24"/>
        </w:rPr>
      </w:pPr>
    </w:p>
    <w:p w:rsidR="00B123A6" w:rsidRDefault="00B123A6" w:rsidP="00EF5218">
      <w:pPr>
        <w:widowControl/>
        <w:ind w:firstLine="0"/>
        <w:jc w:val="center"/>
        <w:rPr>
          <w:rFonts w:ascii="Times New Roman" w:hAnsi="Times New Roman" w:cs="Times New Roman"/>
          <w:b/>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IV.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PIRKIMO DOKUMENTŲ RENGIMAS, PAAIŠKINIMAI, TEIKIMAS</w:t>
      </w:r>
    </w:p>
    <w:p w:rsidR="002C566E" w:rsidRPr="006372C1" w:rsidRDefault="002C566E" w:rsidP="00EF5218">
      <w:pPr>
        <w:widowControl/>
        <w:tabs>
          <w:tab w:val="left" w:pos="566"/>
        </w:tabs>
        <w:jc w:val="both"/>
        <w:rPr>
          <w:rFonts w:ascii="Times New Roman" w:hAnsi="Times New Roman" w:cs="Times New Roman"/>
          <w:color w:val="000000" w:themeColor="text1"/>
          <w:sz w:val="24"/>
        </w:rPr>
      </w:pPr>
    </w:p>
    <w:p w:rsidR="002C566E" w:rsidRPr="006372C1" w:rsidRDefault="001F0E0A"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32</w:t>
      </w:r>
      <w:r w:rsidR="002C566E" w:rsidRPr="006372C1">
        <w:rPr>
          <w:rFonts w:ascii="Times New Roman" w:hAnsi="Times New Roman" w:cs="Times New Roman"/>
          <w:color w:val="000000" w:themeColor="text1"/>
          <w:sz w:val="24"/>
        </w:rPr>
        <w:t xml:space="preserve">. </w:t>
      </w:r>
      <w:r w:rsidR="00CA782E" w:rsidRPr="006372C1">
        <w:rPr>
          <w:rFonts w:ascii="Times New Roman" w:hAnsi="Times New Roman" w:cs="Times New Roman"/>
          <w:color w:val="000000" w:themeColor="text1"/>
          <w:sz w:val="24"/>
        </w:rPr>
        <w:t xml:space="preserve">Pirkimo dokumentus pagal pirkimo iniciatoriaus pateiktą informaciją rengia Komisija arba pirkimo organizatorius. </w:t>
      </w:r>
      <w:r w:rsidR="002C566E" w:rsidRPr="006372C1">
        <w:rPr>
          <w:rFonts w:ascii="Times New Roman" w:hAnsi="Times New Roman" w:cs="Times New Roman"/>
          <w:color w:val="000000" w:themeColor="text1"/>
          <w:sz w:val="24"/>
        </w:rPr>
        <w:t>Pirkimo dokumentai rengiami lietuvių kalba. Papildomai pirkimo dokumentai gali būti rengiami ir kitomis kalbomis.</w:t>
      </w:r>
    </w:p>
    <w:p w:rsidR="002C566E" w:rsidRPr="006372C1" w:rsidRDefault="001F0E0A"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33</w:t>
      </w:r>
      <w:r w:rsidR="002C566E" w:rsidRPr="006372C1">
        <w:rPr>
          <w:rFonts w:ascii="Times New Roman" w:hAnsi="Times New Roman" w:cs="Times New Roman"/>
          <w:color w:val="000000" w:themeColor="text1"/>
          <w:sz w:val="24"/>
        </w:rPr>
        <w:t>. Pirkimo dokumentai turi būti tikslūs, aiškūs, be dviprasmybių, kad tiekėjai galėtų pateikti pasiūlymus, o perkančioji organizacija nupirkti tai, ko reikia.</w:t>
      </w:r>
    </w:p>
    <w:p w:rsidR="002C566E" w:rsidRPr="006372C1" w:rsidRDefault="001F0E0A"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34</w:t>
      </w:r>
      <w:r w:rsidR="002C566E" w:rsidRPr="006372C1">
        <w:rPr>
          <w:rFonts w:ascii="Times New Roman" w:hAnsi="Times New Roman" w:cs="Times New Roman"/>
          <w:color w:val="000000" w:themeColor="text1"/>
          <w:sz w:val="24"/>
        </w:rPr>
        <w:t>. Pirkimo dokumentai gali būti nerengiami, kaip apklausa vykdoma žodžiu.</w:t>
      </w:r>
    </w:p>
    <w:p w:rsidR="00B629F0" w:rsidRPr="006372C1" w:rsidRDefault="001F0E0A" w:rsidP="00B629F0">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35</w:t>
      </w:r>
      <w:r w:rsidR="002C566E" w:rsidRPr="006372C1">
        <w:rPr>
          <w:rFonts w:ascii="Times New Roman" w:hAnsi="Times New Roman" w:cs="Times New Roman"/>
          <w:color w:val="000000" w:themeColor="text1"/>
          <w:sz w:val="24"/>
        </w:rPr>
        <w:t>. Pirkimo dokumentuose nustatyti reikalavimai negali dirbtinai riboti tiekėjų galimybių dalyvauti supaprastintame pirkime ar sudaryti sąlygas dalyvauti tik konkretiems tiekėjams.</w:t>
      </w:r>
    </w:p>
    <w:p w:rsidR="008A576B" w:rsidRPr="006372C1" w:rsidRDefault="008A576B" w:rsidP="00B629F0">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6</w:t>
      </w:r>
      <w:r w:rsidRPr="006372C1">
        <w:rPr>
          <w:rFonts w:ascii="Times New Roman" w:hAnsi="Times New Roman" w:cs="Times New Roman"/>
          <w:color w:val="000000" w:themeColor="text1"/>
          <w:sz w:val="24"/>
        </w:rPr>
        <w:t xml:space="preserve">.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straipsnio reikalavimus, pirkimo sutarčiai įvykdyti kaip subrangovus, </w:t>
      </w:r>
      <w:proofErr w:type="spellStart"/>
      <w:r w:rsidRPr="006372C1">
        <w:rPr>
          <w:rFonts w:ascii="Times New Roman" w:hAnsi="Times New Roman" w:cs="Times New Roman"/>
          <w:color w:val="000000" w:themeColor="text1"/>
          <w:sz w:val="24"/>
        </w:rPr>
        <w:t>subtiekėjus</w:t>
      </w:r>
      <w:proofErr w:type="spellEnd"/>
      <w:r w:rsidRPr="006372C1">
        <w:rPr>
          <w:rFonts w:ascii="Times New Roman" w:hAnsi="Times New Roman" w:cs="Times New Roman"/>
          <w:color w:val="000000" w:themeColor="text1"/>
          <w:sz w:val="24"/>
        </w:rPr>
        <w:t xml:space="preserve"> ar </w:t>
      </w:r>
      <w:proofErr w:type="spellStart"/>
      <w:r w:rsidRPr="006372C1">
        <w:rPr>
          <w:rFonts w:ascii="Times New Roman" w:hAnsi="Times New Roman" w:cs="Times New Roman"/>
          <w:color w:val="000000" w:themeColor="text1"/>
          <w:sz w:val="24"/>
        </w:rPr>
        <w:t>subteikėjus</w:t>
      </w:r>
      <w:proofErr w:type="spellEnd"/>
      <w:r w:rsidRPr="006372C1">
        <w:rPr>
          <w:rFonts w:ascii="Times New Roman" w:hAnsi="Times New Roman" w:cs="Times New Roman"/>
          <w:color w:val="000000" w:themeColor="text1"/>
          <w:sz w:val="24"/>
        </w:rPr>
        <w:t xml:space="preserve"> gali pasitelkti tik tokį pat statusą turinčias įmones ir įstaigas.</w:t>
      </w:r>
      <w:r w:rsidR="00D306B8" w:rsidRPr="006372C1">
        <w:rPr>
          <w:rFonts w:ascii="Times New Roman" w:hAnsi="Times New Roman" w:cs="Times New Roman"/>
          <w:color w:val="000000" w:themeColor="text1"/>
          <w:sz w:val="24"/>
        </w:rPr>
        <w:t xml:space="preserve"> </w:t>
      </w:r>
    </w:p>
    <w:p w:rsidR="002C566E" w:rsidRPr="006372C1" w:rsidRDefault="002C566E"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Pirkimo dokumentuose, atsižvelgiant į pasirinktą supaprastinto pirkimo būdą, pateikiama ši informacija:</w:t>
      </w:r>
    </w:p>
    <w:p w:rsidR="002C566E" w:rsidRPr="006372C1" w:rsidRDefault="002C566E"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.1. nuoroda į perkančiosios organizacijos supaprastintų pirkimų taisykles, kuriomis vadovaujantis vykdomas supaprastintas pirkimas (šių taisyklių pavadinimas, patvirtinimo data, visų pakeitimų paskelbimo datos);</w:t>
      </w:r>
    </w:p>
    <w:p w:rsidR="002C566E" w:rsidRPr="006372C1" w:rsidRDefault="002C566E" w:rsidP="00EF5218">
      <w:pPr>
        <w:widowControl/>
        <w:tabs>
          <w:tab w:val="left" w:pos="70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.2. jei apie pirkimą buvo skelbta, nuoroda į skelbimą;</w:t>
      </w:r>
    </w:p>
    <w:p w:rsidR="002C566E" w:rsidRPr="006372C1" w:rsidRDefault="002C566E"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.3. komisijos narių ar kitų perkančiosios organizacijos valstybės tarnautojų ar darbuotojų, kurie įgalioti palaikyti ryšį su tiekėjais, pareigos, vardai, pavardės, adresai, telefonų ir faksų numeriai, elektroniniai adresai (išskyrus kai vykdomas elektroninis pirkimas)</w:t>
      </w:r>
      <w:r w:rsidRPr="006372C1">
        <w:rPr>
          <w:color w:val="000000" w:themeColor="text1"/>
        </w:rPr>
        <w:t xml:space="preserve"> </w:t>
      </w:r>
      <w:r w:rsidRPr="006372C1">
        <w:rPr>
          <w:rFonts w:ascii="Times New Roman" w:hAnsi="Times New Roman" w:cs="Times New Roman"/>
          <w:color w:val="000000" w:themeColor="text1"/>
          <w:sz w:val="24"/>
        </w:rPr>
        <w:t>taip pat informacija, kokiu būdu vyks bendravimas tarp perkančiosios organizacijos ir tiekėjų;</w:t>
      </w:r>
    </w:p>
    <w:p w:rsidR="006372C1" w:rsidRPr="006372C1" w:rsidRDefault="002C566E"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.4. pasiūlymų, vykdant supaprastintą projekto konkursą – projektų (toliau – pasiūlymų) ir (ar) paraiškų pateikimo ter</w:t>
      </w:r>
      <w:r w:rsidR="000B1C05" w:rsidRPr="006372C1">
        <w:rPr>
          <w:rFonts w:ascii="Times New Roman" w:hAnsi="Times New Roman" w:cs="Times New Roman"/>
          <w:color w:val="000000" w:themeColor="text1"/>
          <w:sz w:val="24"/>
        </w:rPr>
        <w:t>minas (data, valanda ir minutė) ir</w:t>
      </w:r>
      <w:r w:rsidRPr="006372C1">
        <w:rPr>
          <w:rFonts w:ascii="Times New Roman" w:hAnsi="Times New Roman" w:cs="Times New Roman"/>
          <w:color w:val="000000" w:themeColor="text1"/>
          <w:sz w:val="24"/>
        </w:rPr>
        <w:t xml:space="preserve"> vieta</w:t>
      </w:r>
      <w:r w:rsidR="00CD1489">
        <w:rPr>
          <w:rFonts w:ascii="Times New Roman" w:hAnsi="Times New Roman" w:cs="Times New Roman"/>
          <w:color w:val="000000" w:themeColor="text1"/>
          <w:sz w:val="24"/>
        </w:rPr>
        <w:t>;</w:t>
      </w:r>
    </w:p>
    <w:p w:rsidR="002C566E" w:rsidRPr="006372C1" w:rsidRDefault="002C566E"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2C566E" w:rsidRPr="006372C1" w:rsidRDefault="002C566E"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w:t>
      </w:r>
      <w:r w:rsidR="003A56E0" w:rsidRPr="006372C1">
        <w:rPr>
          <w:rFonts w:ascii="Times New Roman" w:hAnsi="Times New Roman" w:cs="Times New Roman"/>
          <w:color w:val="000000" w:themeColor="text1"/>
          <w:sz w:val="24"/>
        </w:rPr>
        <w:t xml:space="preserve">6. </w:t>
      </w:r>
      <w:r w:rsidR="006372C1" w:rsidRPr="006372C1">
        <w:rPr>
          <w:rFonts w:ascii="Times New Roman" w:hAnsi="Times New Roman" w:cs="Times New Roman"/>
          <w:color w:val="000000" w:themeColor="text1"/>
          <w:sz w:val="24"/>
        </w:rPr>
        <w:t xml:space="preserve"> </w:t>
      </w:r>
      <w:r w:rsidR="001A4F76" w:rsidRPr="006372C1">
        <w:rPr>
          <w:rFonts w:ascii="Times New Roman" w:hAnsi="Times New Roman" w:cs="Times New Roman"/>
          <w:color w:val="000000" w:themeColor="text1"/>
          <w:sz w:val="24"/>
        </w:rPr>
        <w:t>Data, iki kada turi galioti pasiūlymas, arba laikotarpis, kurį turi galioti pasiūlymas;</w:t>
      </w:r>
    </w:p>
    <w:p w:rsidR="0025618B" w:rsidRPr="006372C1" w:rsidRDefault="003A56E0" w:rsidP="0025618B">
      <w:pPr>
        <w:widowControl/>
        <w:tabs>
          <w:tab w:val="left" w:pos="725"/>
        </w:tabs>
        <w:jc w:val="both"/>
        <w:rPr>
          <w:rFonts w:ascii="Times New Roman" w:hAnsi="Times New Roman" w:cs="Times New Roman"/>
          <w:strike/>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001A4F76" w:rsidRPr="006372C1">
        <w:rPr>
          <w:rFonts w:ascii="Times New Roman" w:hAnsi="Times New Roman" w:cs="Times New Roman"/>
          <w:color w:val="000000" w:themeColor="text1"/>
          <w:sz w:val="24"/>
        </w:rPr>
        <w:t xml:space="preserve">.7. Prekių, paslaugų, darbų ar projekto pavadinimas; </w:t>
      </w:r>
    </w:p>
    <w:p w:rsidR="003A56E0" w:rsidRPr="006372C1" w:rsidRDefault="003A56E0" w:rsidP="00EF5218">
      <w:pPr>
        <w:widowControl/>
        <w:tabs>
          <w:tab w:val="left" w:pos="725"/>
        </w:tabs>
        <w:jc w:val="both"/>
        <w:rPr>
          <w:rFonts w:ascii="Times New Roman" w:hAnsi="Times New Roman" w:cs="Times New Roman"/>
          <w:strike/>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xml:space="preserve">.8. </w:t>
      </w:r>
      <w:r w:rsidR="001A4F76" w:rsidRPr="006372C1">
        <w:rPr>
          <w:rFonts w:ascii="Times New Roman" w:hAnsi="Times New Roman" w:cs="Times New Roman"/>
          <w:color w:val="000000" w:themeColor="text1"/>
          <w:sz w:val="24"/>
        </w:rPr>
        <w:t xml:space="preserve">Prekių, paslaugų ar darbų kiekis (apimtis), su prekėmis teiktinų paslaugų pobūdis; </w:t>
      </w:r>
    </w:p>
    <w:p w:rsidR="0025618B" w:rsidRPr="006372C1" w:rsidRDefault="00CC4222" w:rsidP="0025618B">
      <w:pPr>
        <w:widowControl/>
        <w:tabs>
          <w:tab w:val="left" w:pos="725"/>
        </w:tabs>
        <w:jc w:val="both"/>
        <w:rPr>
          <w:rFonts w:ascii="Times New Roman" w:hAnsi="Times New Roman" w:cs="Times New Roman"/>
          <w:strike/>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xml:space="preserve">.9. </w:t>
      </w:r>
      <w:r w:rsidR="001A4F76" w:rsidRPr="006372C1">
        <w:rPr>
          <w:rFonts w:ascii="Times New Roman" w:hAnsi="Times New Roman" w:cs="Times New Roman"/>
          <w:color w:val="000000" w:themeColor="text1"/>
          <w:sz w:val="24"/>
        </w:rPr>
        <w:t xml:space="preserve">Prekių tiekimo, paslaugų teikimo ar darbų atlikimo terminai; </w:t>
      </w:r>
    </w:p>
    <w:p w:rsidR="002C566E" w:rsidRPr="006372C1" w:rsidRDefault="002C566E" w:rsidP="00EF5218">
      <w:pPr>
        <w:widowControl/>
        <w:tabs>
          <w:tab w:val="left" w:pos="79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.10. techninė specifikacija;</w:t>
      </w:r>
    </w:p>
    <w:p w:rsidR="002C566E" w:rsidRPr="006372C1" w:rsidRDefault="002C566E" w:rsidP="00EF5218">
      <w:pPr>
        <w:widowControl/>
        <w:tabs>
          <w:tab w:val="left" w:pos="78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xml:space="preserve">.11. pirkimo sutarties </w:t>
      </w:r>
      <w:r w:rsidR="000D5424" w:rsidRPr="006372C1">
        <w:rPr>
          <w:rFonts w:ascii="Times New Roman" w:hAnsi="Times New Roman" w:cs="Times New Roman"/>
          <w:color w:val="000000" w:themeColor="text1"/>
          <w:sz w:val="24"/>
        </w:rPr>
        <w:t xml:space="preserve"> vykdymo</w:t>
      </w:r>
      <w:r w:rsidRPr="006372C1">
        <w:rPr>
          <w:rFonts w:ascii="Times New Roman" w:hAnsi="Times New Roman" w:cs="Times New Roman"/>
          <w:color w:val="000000" w:themeColor="text1"/>
          <w:sz w:val="24"/>
        </w:rPr>
        <w:t xml:space="preserve"> sąlygos, susijusios su  </w:t>
      </w:r>
      <w:r w:rsidR="000D5424" w:rsidRPr="006372C1">
        <w:rPr>
          <w:rFonts w:ascii="Times New Roman" w:hAnsi="Times New Roman" w:cs="Times New Roman"/>
          <w:color w:val="000000" w:themeColor="text1"/>
          <w:sz w:val="24"/>
        </w:rPr>
        <w:t xml:space="preserve">socialiniais </w:t>
      </w:r>
      <w:r w:rsidRPr="006372C1">
        <w:rPr>
          <w:rFonts w:ascii="Times New Roman" w:hAnsi="Times New Roman" w:cs="Times New Roman"/>
          <w:color w:val="000000" w:themeColor="text1"/>
          <w:sz w:val="24"/>
        </w:rPr>
        <w:t xml:space="preserve">ir aplinkos apsaugos </w:t>
      </w:r>
      <w:r w:rsidR="000D5424" w:rsidRPr="006372C1">
        <w:rPr>
          <w:rFonts w:ascii="Times New Roman" w:hAnsi="Times New Roman" w:cs="Times New Roman"/>
          <w:color w:val="000000" w:themeColor="text1"/>
          <w:sz w:val="24"/>
        </w:rPr>
        <w:t xml:space="preserve"> reikalavimais</w:t>
      </w:r>
      <w:r w:rsidRPr="006372C1">
        <w:rPr>
          <w:rFonts w:ascii="Times New Roman" w:hAnsi="Times New Roman" w:cs="Times New Roman"/>
          <w:color w:val="000000" w:themeColor="text1"/>
          <w:sz w:val="24"/>
        </w:rPr>
        <w:t xml:space="preserve">, jei jos atitinka Europos </w:t>
      </w:r>
      <w:r w:rsidR="000D5424" w:rsidRPr="006372C1">
        <w:rPr>
          <w:rFonts w:ascii="Times New Roman" w:hAnsi="Times New Roman" w:cs="Times New Roman"/>
          <w:color w:val="000000" w:themeColor="text1"/>
          <w:sz w:val="24"/>
        </w:rPr>
        <w:t xml:space="preserve"> Sąjungos</w:t>
      </w:r>
      <w:r w:rsidRPr="006372C1">
        <w:rPr>
          <w:rFonts w:ascii="Times New Roman" w:hAnsi="Times New Roman" w:cs="Times New Roman"/>
          <w:color w:val="000000" w:themeColor="text1"/>
          <w:sz w:val="24"/>
        </w:rPr>
        <w:t xml:space="preserve"> teisės aktus;</w:t>
      </w:r>
    </w:p>
    <w:p w:rsidR="002C566E" w:rsidRPr="006372C1" w:rsidRDefault="002C566E" w:rsidP="00EF5218">
      <w:pPr>
        <w:widowControl/>
        <w:tabs>
          <w:tab w:val="left" w:pos="78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.12. energijos vartojimo efektyvumo ir aplinkos apsaugos reikalavimai ir (ar) kriterijai Lietuvos Respublikos Vyriausybės ar jos įgaliotos institucijos nustatytais atvejais ir tvarka;</w:t>
      </w:r>
    </w:p>
    <w:p w:rsidR="00AC2384" w:rsidRPr="006372C1" w:rsidRDefault="003C4DB1" w:rsidP="00AC2384">
      <w:pPr>
        <w:widowControl/>
        <w:tabs>
          <w:tab w:val="left" w:pos="797"/>
        </w:tabs>
        <w:jc w:val="both"/>
        <w:rPr>
          <w:rFonts w:ascii="Times New Roman" w:hAnsi="Times New Roman" w:cs="Times New Roman"/>
          <w:strike/>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xml:space="preserve">.13. </w:t>
      </w:r>
      <w:r w:rsidR="000D5424" w:rsidRPr="006372C1">
        <w:rPr>
          <w:rFonts w:ascii="Times New Roman" w:hAnsi="Times New Roman" w:cs="Times New Roman"/>
          <w:color w:val="000000" w:themeColor="text1"/>
          <w:sz w:val="24"/>
        </w:rPr>
        <w:t>I</w:t>
      </w:r>
      <w:r w:rsidR="000D5424" w:rsidRPr="006372C1">
        <w:rPr>
          <w:rFonts w:ascii="Times New Roman" w:hAnsi="Times New Roman" w:cs="Times New Roman"/>
          <w:color w:val="000000" w:themeColor="text1"/>
          <w:sz w:val="24"/>
          <w:lang w:eastAsia="sl-SI"/>
        </w:rPr>
        <w:t xml:space="preserve">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w:t>
      </w:r>
      <w:r w:rsidR="000D5424" w:rsidRPr="006372C1">
        <w:rPr>
          <w:rFonts w:ascii="Times New Roman" w:hAnsi="Times New Roman" w:cs="Times New Roman"/>
          <w:color w:val="000000" w:themeColor="text1"/>
          <w:sz w:val="24"/>
          <w:lang w:eastAsia="sl-SI"/>
        </w:rPr>
        <w:lastRenderedPageBreak/>
        <w:t xml:space="preserve">tas pats tiekėjas gali teikti pasiūlymus, laikoma, kad tas pats tiekėjas gali teikti pasiūlymus visoms pirkimo dalims; </w:t>
      </w:r>
    </w:p>
    <w:p w:rsidR="002C566E" w:rsidRPr="006372C1" w:rsidRDefault="002C566E" w:rsidP="00EF5218">
      <w:pPr>
        <w:widowControl/>
        <w:tabs>
          <w:tab w:val="left" w:pos="79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.14. informacija, ar leidžiama pateikti alternatyvius pasiūlymus, jeigu leidžiama – šių pasiūlymų reikalavimai;</w:t>
      </w:r>
    </w:p>
    <w:p w:rsidR="00B123A6" w:rsidRDefault="00B123A6" w:rsidP="00EF5218">
      <w:pPr>
        <w:widowControl/>
        <w:tabs>
          <w:tab w:val="left" w:pos="859"/>
        </w:tabs>
        <w:jc w:val="both"/>
        <w:rPr>
          <w:rFonts w:ascii="Times New Roman" w:hAnsi="Times New Roman" w:cs="Times New Roman"/>
          <w:color w:val="000000" w:themeColor="text1"/>
          <w:sz w:val="24"/>
        </w:rPr>
      </w:pPr>
    </w:p>
    <w:p w:rsidR="002C566E" w:rsidRPr="006372C1" w:rsidRDefault="002C566E" w:rsidP="00EF5218">
      <w:pPr>
        <w:widowControl/>
        <w:tabs>
          <w:tab w:val="left" w:pos="859"/>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xml:space="preserve">.15. </w:t>
      </w:r>
      <w:r w:rsidR="00010CC9" w:rsidRPr="006372C1">
        <w:rPr>
          <w:rFonts w:ascii="Times New Roman" w:hAnsi="Times New Roman" w:cs="Times New Roman"/>
          <w:color w:val="000000" w:themeColor="text1"/>
          <w:sz w:val="24"/>
        </w:rPr>
        <w:t>T</w:t>
      </w:r>
      <w:r w:rsidRPr="006372C1">
        <w:rPr>
          <w:rFonts w:ascii="Times New Roman" w:hAnsi="Times New Roman" w:cs="Times New Roman"/>
          <w:color w:val="000000" w:themeColor="text1"/>
          <w:sz w:val="24"/>
        </w:rPr>
        <w:t>iekėjų kvalifikacijos reikalavimai, tarp jų ir reikalavimai atskiriems bendrą paraišką ar pasiūlymą pateikiantiems tiekėjams;</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xml:space="preserve">.16. </w:t>
      </w:r>
      <w:r w:rsidR="000D5424" w:rsidRPr="006372C1">
        <w:rPr>
          <w:rFonts w:ascii="Times New Roman" w:hAnsi="Times New Roman" w:cs="Times New Roman"/>
          <w:color w:val="000000" w:themeColor="text1"/>
          <w:sz w:val="24"/>
        </w:rPr>
        <w:t>Tiekėjų kvalifikacijos vertinimo tvarka</w:t>
      </w:r>
      <w:r w:rsidR="00010CC9" w:rsidRPr="006372C1">
        <w:rPr>
          <w:rFonts w:ascii="Times New Roman" w:hAnsi="Times New Roman" w:cs="Times New Roman"/>
          <w:color w:val="000000" w:themeColor="text1"/>
          <w:sz w:val="24"/>
        </w:rPr>
        <w:t xml:space="preserve">; </w:t>
      </w:r>
      <w:r w:rsidRPr="006372C1">
        <w:rPr>
          <w:rFonts w:ascii="Times New Roman" w:hAnsi="Times New Roman" w:cs="Times New Roman"/>
          <w:color w:val="000000" w:themeColor="text1"/>
          <w:sz w:val="24"/>
        </w:rPr>
        <w:t>jeigu numatoma riboti tiekėjų skaičių – kvalifikacinės atrankos kriterijai bei tvarka, mažiausias kandidatų, kuriuos perkančioji organizacija atrinks ir pakvies pateikti pasiūlymus, skaičius;</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.18. informacija, kaip turi būti apskaičiuota ir išreikšta pasiūlymuose</w:t>
      </w:r>
      <w:r w:rsidR="00CD1489">
        <w:rPr>
          <w:rFonts w:ascii="Times New Roman" w:hAnsi="Times New Roman" w:cs="Times New Roman"/>
          <w:color w:val="000000" w:themeColor="text1"/>
          <w:sz w:val="24"/>
        </w:rPr>
        <w:t xml:space="preserve"> nurodoma kaina.</w:t>
      </w:r>
      <w:r w:rsidR="00010CC9" w:rsidRPr="006372C1">
        <w:rPr>
          <w:rFonts w:ascii="Times New Roman" w:hAnsi="Times New Roman" w:cs="Times New Roman"/>
          <w:color w:val="000000" w:themeColor="text1"/>
          <w:sz w:val="24"/>
        </w:rPr>
        <w:t xml:space="preserve"> Į kainą turi būti įskaityti visi mokesčiai;</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.19.</w:t>
      </w:r>
      <w:r w:rsidR="007B4D4E" w:rsidRPr="006372C1">
        <w:rPr>
          <w:rFonts w:ascii="Times New Roman" w:hAnsi="Times New Roman"/>
          <w:color w:val="000000" w:themeColor="text1"/>
          <w:sz w:val="24"/>
        </w:rPr>
        <w:t xml:space="preserve"> informacija, kad </w:t>
      </w:r>
      <w:r w:rsidR="00010CC9" w:rsidRPr="006372C1">
        <w:rPr>
          <w:rFonts w:ascii="Times New Roman" w:hAnsi="Times New Roman"/>
          <w:color w:val="000000" w:themeColor="text1"/>
          <w:sz w:val="24"/>
        </w:rPr>
        <w:t>pasiūlymuose nurodytos kainos bus vertinamos</w:t>
      </w:r>
      <w:r w:rsidR="007B4D4E" w:rsidRPr="006372C1">
        <w:rPr>
          <w:rFonts w:ascii="Times New Roman" w:hAnsi="Times New Roman"/>
          <w:color w:val="000000" w:themeColor="text1"/>
          <w:sz w:val="24"/>
        </w:rPr>
        <w:t xml:space="preserve">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.21. informacija, ar tiekėjams leidžiama dalyvauti vokų su pasiūlymais atplėšimo procedūroje;</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.22. pasiūlymų vertinimo kriterijai, kiekvieno jų svarba bendram įvertinimui, pasirinkto kriterijaus lyginamasis svoris, vertinimo taisyklės ir procedūros;</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xml:space="preserve">.23. siūlomos pasirašyti pirkimo (preliminariosios) sutarties svarbiausios sąlygos  </w:t>
      </w:r>
      <w:r w:rsidR="00CD1489">
        <w:rPr>
          <w:rFonts w:ascii="Times New Roman" w:hAnsi="Times New Roman" w:cs="Times New Roman"/>
          <w:color w:val="000000" w:themeColor="text1"/>
          <w:sz w:val="24"/>
        </w:rPr>
        <w:t>(</w:t>
      </w:r>
      <w:r w:rsidRPr="006372C1">
        <w:rPr>
          <w:rFonts w:ascii="Times New Roman" w:hAnsi="Times New Roman" w:cs="Times New Roman"/>
          <w:color w:val="000000" w:themeColor="text1"/>
          <w:sz w:val="24"/>
        </w:rPr>
        <w:t>kainodaros taisyklės, atsiskaitymo tvarka, atlikimo terminai, sutarties nutraukimo tvarka ir kitos sąlygos pagal Viešųjų pirkimų</w:t>
      </w:r>
      <w:r w:rsidR="00010CC9" w:rsidRPr="006372C1">
        <w:rPr>
          <w:rFonts w:ascii="Times New Roman" w:hAnsi="Times New Roman" w:cs="Times New Roman"/>
          <w:color w:val="000000" w:themeColor="text1"/>
          <w:sz w:val="24"/>
        </w:rPr>
        <w:t xml:space="preserve"> įstatymo 18 straipsnio 6 dalį), taip pat </w:t>
      </w:r>
      <w:r w:rsidRPr="006372C1">
        <w:rPr>
          <w:rFonts w:ascii="Times New Roman" w:hAnsi="Times New Roman" w:cs="Times New Roman"/>
          <w:color w:val="000000" w:themeColor="text1"/>
          <w:sz w:val="24"/>
        </w:rPr>
        <w:t xml:space="preserve"> pirkimo sutarties projektas</w:t>
      </w:r>
      <w:r w:rsidR="00010CC9" w:rsidRPr="006372C1">
        <w:rPr>
          <w:rFonts w:ascii="Times New Roman" w:hAnsi="Times New Roman" w:cs="Times New Roman"/>
          <w:color w:val="000000" w:themeColor="text1"/>
          <w:sz w:val="24"/>
        </w:rPr>
        <w:t>, jei jis parengtas</w:t>
      </w:r>
      <w:r w:rsidRPr="006372C1">
        <w:rPr>
          <w:rFonts w:ascii="Times New Roman" w:hAnsi="Times New Roman" w:cs="Times New Roman"/>
          <w:color w:val="000000" w:themeColor="text1"/>
          <w:sz w:val="24"/>
        </w:rPr>
        <w:t>;</w:t>
      </w:r>
    </w:p>
    <w:p w:rsidR="002C566E" w:rsidRPr="006372C1" w:rsidRDefault="002C566E" w:rsidP="00EF5218">
      <w:pPr>
        <w:widowControl/>
        <w:tabs>
          <w:tab w:val="left" w:pos="859"/>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.24. pasiūlymų galiojimo užtikrinimo, jei reikalaujama, ir pirkimo sutarties įvykdymo užtikrinimo reikalavimai;</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.25. jei perkančioji organizacija numato reikalavimą, kad ūkio subjektų grupė, kurios pasiūlymas bus pripažintas geriausiu, įgytų tam tikrą teisinę formą – teisinės formos reikalavimai;</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.26. būdai, kuriais tiekėjai gali prašyti pirkimo dokumentų paaiškinimų;</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.27. pasiūlymų keitimo ir atšaukimo tvarka;</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.29. terminas, iki kada nelaimėję projektai turi būti grąžinti projekto konkurso dalyviams;</w:t>
      </w:r>
    </w:p>
    <w:p w:rsidR="0039288B" w:rsidRPr="006372C1" w:rsidRDefault="0039288B" w:rsidP="0039288B">
      <w:pPr>
        <w:ind w:firstLine="567"/>
        <w:jc w:val="both"/>
        <w:rPr>
          <w:rFonts w:ascii="Times New Roman" w:hAnsi="Times New Roman" w:cs="Times New Roman"/>
          <w:color w:val="000000" w:themeColor="text1"/>
          <w:sz w:val="24"/>
          <w:lang w:eastAsia="sl-SI"/>
        </w:rPr>
      </w:pPr>
      <w:r w:rsidRPr="006372C1">
        <w:rPr>
          <w:rFonts w:ascii="Times New Roman" w:hAnsi="Times New Roman" w:cs="Times New Roman"/>
          <w:color w:val="000000" w:themeColor="text1"/>
          <w:sz w:val="24"/>
        </w:rPr>
        <w:t xml:space="preserve">   </w:t>
      </w:r>
      <w:r w:rsidR="00B70D92"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00B70D92" w:rsidRPr="006372C1">
        <w:rPr>
          <w:rFonts w:ascii="Times New Roman" w:hAnsi="Times New Roman" w:cs="Times New Roman"/>
          <w:color w:val="000000" w:themeColor="text1"/>
          <w:sz w:val="24"/>
        </w:rPr>
        <w:t xml:space="preserve">.30. </w:t>
      </w:r>
      <w:r w:rsidRPr="006372C1">
        <w:rPr>
          <w:rFonts w:ascii="Times New Roman" w:hAnsi="Times New Roman" w:cs="Times New Roman"/>
          <w:color w:val="000000" w:themeColor="text1"/>
          <w:sz w:val="24"/>
          <w:lang w:eastAsia="sl-SI"/>
        </w:rPr>
        <w:t xml:space="preserve">jeigu tiekėjas ketina pasitelkti subrangovus, </w:t>
      </w:r>
      <w:proofErr w:type="spellStart"/>
      <w:r w:rsidRPr="006372C1">
        <w:rPr>
          <w:rFonts w:ascii="Times New Roman" w:hAnsi="Times New Roman" w:cs="Times New Roman"/>
          <w:color w:val="000000" w:themeColor="text1"/>
          <w:sz w:val="24"/>
          <w:lang w:eastAsia="sl-SI"/>
        </w:rPr>
        <w:t>subtiekėjus</w:t>
      </w:r>
      <w:proofErr w:type="spellEnd"/>
      <w:r w:rsidRPr="006372C1">
        <w:rPr>
          <w:rFonts w:ascii="Times New Roman" w:hAnsi="Times New Roman" w:cs="Times New Roman"/>
          <w:color w:val="000000" w:themeColor="text1"/>
          <w:sz w:val="24"/>
          <w:lang w:eastAsia="sl-SI"/>
        </w:rPr>
        <w:t xml:space="preserve"> ar </w:t>
      </w:r>
      <w:proofErr w:type="spellStart"/>
      <w:r w:rsidRPr="006372C1">
        <w:rPr>
          <w:rFonts w:ascii="Times New Roman" w:hAnsi="Times New Roman" w:cs="Times New Roman"/>
          <w:color w:val="000000" w:themeColor="text1"/>
          <w:sz w:val="24"/>
          <w:lang w:eastAsia="sl-SI"/>
        </w:rPr>
        <w:t>subteikėjus</w:t>
      </w:r>
      <w:proofErr w:type="spellEnd"/>
      <w:r w:rsidRPr="006372C1">
        <w:rPr>
          <w:rFonts w:ascii="Times New Roman" w:hAnsi="Times New Roman" w:cs="Times New Roman"/>
          <w:color w:val="000000" w:themeColor="text1"/>
          <w:sz w:val="24"/>
          <w:lang w:eastAsia="sl-SI"/>
        </w:rPr>
        <w:t xml:space="preserve">, turi būti reikalaujama, kad tiekėjas savo pasiūlyme nurodytų, kokius subrangovus, </w:t>
      </w:r>
      <w:proofErr w:type="spellStart"/>
      <w:r w:rsidRPr="006372C1">
        <w:rPr>
          <w:rFonts w:ascii="Times New Roman" w:hAnsi="Times New Roman" w:cs="Times New Roman"/>
          <w:color w:val="000000" w:themeColor="text1"/>
          <w:sz w:val="24"/>
          <w:lang w:eastAsia="sl-SI"/>
        </w:rPr>
        <w:t>subtiekėjus</w:t>
      </w:r>
      <w:proofErr w:type="spellEnd"/>
      <w:r w:rsidRPr="006372C1">
        <w:rPr>
          <w:rFonts w:ascii="Times New Roman" w:hAnsi="Times New Roman" w:cs="Times New Roman"/>
          <w:color w:val="000000" w:themeColor="text1"/>
          <w:sz w:val="24"/>
          <w:lang w:eastAsia="sl-SI"/>
        </w:rPr>
        <w:t xml:space="preserve"> ar </w:t>
      </w:r>
      <w:proofErr w:type="spellStart"/>
      <w:r w:rsidRPr="006372C1">
        <w:rPr>
          <w:rFonts w:ascii="Times New Roman" w:hAnsi="Times New Roman" w:cs="Times New Roman"/>
          <w:color w:val="000000" w:themeColor="text1"/>
          <w:sz w:val="24"/>
          <w:lang w:eastAsia="sl-SI"/>
        </w:rPr>
        <w:t>subteikėjus</w:t>
      </w:r>
      <w:proofErr w:type="spellEnd"/>
      <w:r w:rsidRPr="006372C1">
        <w:rPr>
          <w:rFonts w:ascii="Times New Roman" w:hAnsi="Times New Roman" w:cs="Times New Roman"/>
          <w:color w:val="000000" w:themeColor="text1"/>
          <w:sz w:val="24"/>
          <w:lang w:eastAsia="sl-SI"/>
        </w:rPr>
        <w:t xml:space="preserve"> tiekėjas ketina pasitelkti ir, jeigu reikalaujama, kokiai pirkimo daliai atlikti tiekėjas juos ketina pasitelkti.</w:t>
      </w:r>
      <w:r w:rsidRPr="006372C1">
        <w:rPr>
          <w:rFonts w:ascii="Times New Roman" w:hAnsi="Times New Roman" w:cs="Times New Roman"/>
          <w:b/>
          <w:color w:val="000000" w:themeColor="text1"/>
          <w:sz w:val="24"/>
          <w:lang w:eastAsia="sl-SI"/>
        </w:rPr>
        <w:t xml:space="preserve"> </w:t>
      </w:r>
      <w:r w:rsidRPr="006372C1">
        <w:rPr>
          <w:rFonts w:ascii="Times New Roman" w:hAnsi="Times New Roman" w:cs="Times New Roman"/>
          <w:color w:val="000000" w:themeColor="text1"/>
          <w:sz w:val="24"/>
          <w:lang w:eastAsia="sl-SI"/>
        </w:rPr>
        <w:t>Darbų pirkimo atveju nurodomi pagrindiniai darbai, kuriuos privalės atlikti tiekėjas, jei</w:t>
      </w:r>
      <w:r w:rsidRPr="006372C1">
        <w:rPr>
          <w:rFonts w:ascii="Times New Roman" w:hAnsi="Times New Roman" w:cs="Times New Roman"/>
          <w:color w:val="000000" w:themeColor="text1"/>
          <w:sz w:val="24"/>
        </w:rPr>
        <w:t>gu darbų pirkimo sutarčiai vykdyti pasitelks subrangovus;</w:t>
      </w:r>
    </w:p>
    <w:p w:rsidR="002C566E" w:rsidRPr="006372C1" w:rsidRDefault="0039288B"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 xml:space="preserve"> </w:t>
      </w:r>
      <w:r w:rsidR="002C566E"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002C566E" w:rsidRPr="006372C1">
        <w:rPr>
          <w:rFonts w:ascii="Times New Roman" w:hAnsi="Times New Roman" w:cs="Times New Roman"/>
          <w:color w:val="000000" w:themeColor="text1"/>
          <w:sz w:val="24"/>
        </w:rPr>
        <w:t xml:space="preserve">.31. jeigu perkančioji organizacija pirkimą atlieka pagal Viešųjų pirkimų įstatymo </w:t>
      </w:r>
      <w:r w:rsidR="00554BC8" w:rsidRPr="006372C1">
        <w:rPr>
          <w:rFonts w:ascii="Times New Roman" w:hAnsi="Times New Roman" w:cs="Times New Roman"/>
          <w:color w:val="000000" w:themeColor="text1"/>
          <w:sz w:val="24"/>
        </w:rPr>
        <w:t xml:space="preserve"> </w:t>
      </w:r>
      <w:r w:rsidR="002C566E" w:rsidRPr="006372C1">
        <w:rPr>
          <w:rFonts w:ascii="Times New Roman" w:hAnsi="Times New Roman" w:cs="Times New Roman"/>
          <w:color w:val="000000" w:themeColor="text1"/>
          <w:sz w:val="24"/>
        </w:rPr>
        <w:t>91 straipsnio reikalavimus – nuoroda į tokį pirkimą ir reikalavimas, kad tiekėjas pagrįstų, kad jis atitinka minėto straipsnio reikalavimus, pateikdamas kompetentingos institucijos išduotą dokumentą ar tiekėjo patvirtintą deklaraciją;</w:t>
      </w:r>
    </w:p>
    <w:p w:rsidR="006372C1"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lastRenderedPageBreak/>
        <w:t>3</w:t>
      </w:r>
      <w:r w:rsidR="001F0E0A" w:rsidRPr="006372C1">
        <w:rPr>
          <w:rFonts w:ascii="Times New Roman" w:hAnsi="Times New Roman" w:cs="Times New Roman"/>
          <w:color w:val="000000" w:themeColor="text1"/>
          <w:sz w:val="24"/>
        </w:rPr>
        <w:t>7</w:t>
      </w:r>
      <w:r w:rsidR="00B629F0" w:rsidRPr="006372C1">
        <w:rPr>
          <w:rFonts w:ascii="Times New Roman" w:hAnsi="Times New Roman" w:cs="Times New Roman"/>
          <w:color w:val="000000" w:themeColor="text1"/>
          <w:sz w:val="24"/>
        </w:rPr>
        <w:t>.32</w:t>
      </w:r>
      <w:r w:rsidRPr="006372C1">
        <w:rPr>
          <w:rFonts w:ascii="Times New Roman" w:hAnsi="Times New Roman" w:cs="Times New Roman"/>
          <w:color w:val="000000" w:themeColor="text1"/>
          <w:sz w:val="24"/>
        </w:rPr>
        <w:t>. informacija apie pirkimo sutarties sudarymo atidėjimo termino taikymą</w:t>
      </w:r>
      <w:r w:rsidR="00172812" w:rsidRPr="006372C1">
        <w:rPr>
          <w:rFonts w:ascii="Times New Roman" w:hAnsi="Times New Roman" w:cs="Times New Roman"/>
          <w:color w:val="000000" w:themeColor="text1"/>
          <w:sz w:val="24"/>
        </w:rPr>
        <w:t>;</w:t>
      </w:r>
      <w:r w:rsidRPr="006372C1">
        <w:rPr>
          <w:rFonts w:ascii="Times New Roman" w:hAnsi="Times New Roman" w:cs="Times New Roman"/>
          <w:color w:val="000000" w:themeColor="text1"/>
          <w:sz w:val="24"/>
        </w:rPr>
        <w:t xml:space="preserve"> </w:t>
      </w:r>
    </w:p>
    <w:p w:rsidR="00172812" w:rsidRPr="006372C1" w:rsidRDefault="00172812"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37.33. ginčų nagrinėjimo tvarka;</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.3</w:t>
      </w:r>
      <w:r w:rsidR="00172812" w:rsidRPr="006372C1">
        <w:rPr>
          <w:rFonts w:ascii="Times New Roman" w:hAnsi="Times New Roman" w:cs="Times New Roman"/>
          <w:color w:val="000000" w:themeColor="text1"/>
          <w:sz w:val="24"/>
        </w:rPr>
        <w:t>4</w:t>
      </w:r>
      <w:r w:rsidRPr="006372C1">
        <w:rPr>
          <w:rFonts w:ascii="Times New Roman" w:hAnsi="Times New Roman" w:cs="Times New Roman"/>
          <w:color w:val="000000" w:themeColor="text1"/>
          <w:sz w:val="24"/>
        </w:rPr>
        <w:t>. kita reikalinga informacija apie pirkimo sąlygas ir procedūras.</w:t>
      </w:r>
    </w:p>
    <w:p w:rsidR="002C566E" w:rsidRPr="006372C1" w:rsidRDefault="002C566E" w:rsidP="00EF5218">
      <w:pPr>
        <w:widowControl/>
        <w:tabs>
          <w:tab w:val="left" w:pos="566"/>
        </w:tabs>
        <w:ind w:left="566" w:firstLine="154"/>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 xml:space="preserve">. Pirkimo dokumentų sudėtinė dalis yra skelbimas apie supaprastintą pirkimą. </w:t>
      </w:r>
    </w:p>
    <w:p w:rsidR="002C566E" w:rsidRPr="006372C1" w:rsidRDefault="002C566E" w:rsidP="00EF5218">
      <w:pPr>
        <w:widowControl/>
        <w:tabs>
          <w:tab w:val="left" w:pos="-57"/>
        </w:tabs>
        <w:ind w:firstLine="741"/>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3</w:t>
      </w:r>
      <w:r w:rsidR="001F0E0A"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Skelbimuose esanti informacija vėliau papildomai gali būti neteikiama (kituose pirkimo dokumentuose pateikiama nuoroda į atitinkamą informaciją skelbime).</w:t>
      </w:r>
    </w:p>
    <w:p w:rsidR="0052018A" w:rsidRPr="006372C1" w:rsidRDefault="001F0E0A"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40</w:t>
      </w:r>
      <w:r w:rsidR="0052018A" w:rsidRPr="006372C1">
        <w:rPr>
          <w:rFonts w:ascii="Times New Roman" w:hAnsi="Times New Roman" w:cs="Times New Roman"/>
          <w:color w:val="000000" w:themeColor="text1"/>
          <w:sz w:val="24"/>
        </w:rPr>
        <w:t>. Mažos vertės pirkimo atveju, pirkimo dokumentai nebus rengiami, jei atliekama mažos vertės pirkimų apklausa žodžiu, kai:</w:t>
      </w:r>
    </w:p>
    <w:p w:rsidR="0052018A" w:rsidRPr="006372C1" w:rsidRDefault="001F0E0A"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40</w:t>
      </w:r>
      <w:r w:rsidR="0052018A" w:rsidRPr="006372C1">
        <w:rPr>
          <w:rFonts w:ascii="Times New Roman" w:hAnsi="Times New Roman" w:cs="Times New Roman"/>
          <w:color w:val="000000" w:themeColor="text1"/>
          <w:sz w:val="24"/>
        </w:rPr>
        <w:t xml:space="preserve">.1. pirkimo sutarties vertė neviršija </w:t>
      </w:r>
      <w:r w:rsidR="007B4D4E" w:rsidRPr="006372C1">
        <w:rPr>
          <w:rFonts w:ascii="Times New Roman" w:hAnsi="Times New Roman" w:cs="Times New Roman"/>
          <w:color w:val="000000" w:themeColor="text1"/>
          <w:sz w:val="24"/>
        </w:rPr>
        <w:t>3 000</w:t>
      </w:r>
      <w:r w:rsidR="0052018A" w:rsidRPr="006372C1">
        <w:rPr>
          <w:rFonts w:ascii="Times New Roman" w:hAnsi="Times New Roman" w:cs="Times New Roman"/>
          <w:color w:val="000000" w:themeColor="text1"/>
          <w:sz w:val="24"/>
        </w:rPr>
        <w:t xml:space="preserve"> </w:t>
      </w:r>
      <w:r w:rsidR="007B4D4E" w:rsidRPr="006372C1">
        <w:rPr>
          <w:rFonts w:ascii="Times New Roman" w:hAnsi="Times New Roman" w:cs="Times New Roman"/>
          <w:color w:val="000000" w:themeColor="text1"/>
          <w:sz w:val="24"/>
        </w:rPr>
        <w:t>eurų</w:t>
      </w:r>
      <w:r w:rsidR="0052018A" w:rsidRPr="006372C1">
        <w:rPr>
          <w:rFonts w:ascii="Times New Roman" w:hAnsi="Times New Roman" w:cs="Times New Roman"/>
          <w:color w:val="000000" w:themeColor="text1"/>
          <w:sz w:val="24"/>
        </w:rPr>
        <w:t xml:space="preserve"> (be pridėtinės vertės mokesčio);</w:t>
      </w:r>
    </w:p>
    <w:p w:rsidR="0052018A" w:rsidRPr="006372C1" w:rsidRDefault="001F0E0A"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40</w:t>
      </w:r>
      <w:r w:rsidR="0052018A" w:rsidRPr="006372C1">
        <w:rPr>
          <w:rFonts w:ascii="Times New Roman" w:hAnsi="Times New Roman" w:cs="Times New Roman"/>
          <w:color w:val="000000" w:themeColor="text1"/>
          <w:sz w:val="24"/>
        </w:rPr>
        <w:t>.2. dėl įvykių, kurių perkančioji organizacija negalėjo iš anksto numatyti, būtina skubiai įsigyti reikalingų prekių, paslaugų ar darbų, o vykdant apklausą raštu prekių, paslaugų ar darbų nepavyktų įsigyti laiku.</w:t>
      </w:r>
    </w:p>
    <w:p w:rsidR="002C566E" w:rsidRPr="006372C1" w:rsidRDefault="001F0E0A"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41</w:t>
      </w:r>
      <w:r w:rsidR="002C566E" w:rsidRPr="006372C1">
        <w:rPr>
          <w:rFonts w:ascii="Times New Roman" w:hAnsi="Times New Roman" w:cs="Times New Roman"/>
          <w:color w:val="000000" w:themeColor="text1"/>
          <w:sz w:val="24"/>
        </w:rPr>
        <w:t>. P</w:t>
      </w:r>
      <w:r w:rsidR="00B41B42" w:rsidRPr="006372C1">
        <w:rPr>
          <w:rFonts w:ascii="Times New Roman" w:hAnsi="Times New Roman" w:cs="Times New Roman"/>
          <w:color w:val="000000" w:themeColor="text1"/>
          <w:sz w:val="24"/>
        </w:rPr>
        <w:t>erkančiosios organizacijos</w:t>
      </w:r>
      <w:r w:rsidR="002C566E" w:rsidRPr="006372C1">
        <w:rPr>
          <w:rFonts w:ascii="Times New Roman" w:hAnsi="Times New Roman" w:cs="Times New Roman"/>
          <w:color w:val="000000" w:themeColor="text1"/>
          <w:sz w:val="24"/>
        </w:rPr>
        <w:t xml:space="preserve"> pirkimo dokumentai, kuriuos įmanoma pateikti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2C566E" w:rsidRPr="006372C1" w:rsidRDefault="001F0E0A"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42</w:t>
      </w:r>
      <w:r w:rsidR="002C566E" w:rsidRPr="006372C1">
        <w:rPr>
          <w:rFonts w:ascii="Times New Roman" w:hAnsi="Times New Roman" w:cs="Times New Roman"/>
          <w:color w:val="000000" w:themeColor="text1"/>
          <w:sz w:val="2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C566E" w:rsidRPr="006372C1" w:rsidRDefault="001F0E0A" w:rsidP="00EF5218">
      <w:pPr>
        <w:widowControl/>
        <w:tabs>
          <w:tab w:val="left" w:pos="566"/>
        </w:tabs>
        <w:jc w:val="both"/>
        <w:rPr>
          <w:rFonts w:ascii="Times New Roman" w:hAnsi="Times New Roman" w:cs="Times New Roman"/>
          <w:color w:val="000000" w:themeColor="text1"/>
          <w:sz w:val="24"/>
          <w:lang w:eastAsia="de-DE"/>
        </w:rPr>
      </w:pPr>
      <w:r w:rsidRPr="006372C1">
        <w:rPr>
          <w:rFonts w:ascii="Times New Roman" w:hAnsi="Times New Roman" w:cs="Times New Roman"/>
          <w:color w:val="000000" w:themeColor="text1"/>
          <w:sz w:val="24"/>
          <w:lang w:eastAsia="de-DE"/>
        </w:rPr>
        <w:t>43</w:t>
      </w:r>
      <w:r w:rsidR="002C566E" w:rsidRPr="006372C1">
        <w:rPr>
          <w:rFonts w:ascii="Times New Roman" w:hAnsi="Times New Roman" w:cs="Times New Roman"/>
          <w:color w:val="000000" w:themeColor="text1"/>
          <w:sz w:val="24"/>
          <w:lang w:eastAsia="de-DE"/>
        </w:rPr>
        <w:t xml:space="preserve">. </w:t>
      </w:r>
      <w:r w:rsidR="002C566E" w:rsidRPr="006372C1">
        <w:rPr>
          <w:rFonts w:ascii="Times New Roman" w:hAnsi="Times New Roman" w:cs="Times New Roman"/>
          <w:color w:val="000000" w:themeColor="text1"/>
          <w:sz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w:t>
      </w:r>
      <w:r w:rsidR="002C566E" w:rsidRPr="006372C1">
        <w:rPr>
          <w:rFonts w:ascii="Times New Roman" w:hAnsi="Times New Roman" w:cs="Times New Roman"/>
          <w:color w:val="000000" w:themeColor="text1"/>
          <w:sz w:val="24"/>
          <w:lang w:eastAsia="de-DE"/>
        </w:rPr>
        <w:t xml:space="preserve">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2C566E" w:rsidRPr="006372C1" w:rsidRDefault="001F0E0A" w:rsidP="00EF5218">
      <w:pPr>
        <w:widowControl/>
        <w:tabs>
          <w:tab w:val="left" w:pos="56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44</w:t>
      </w:r>
      <w:r w:rsidR="002C566E" w:rsidRPr="006372C1">
        <w:rPr>
          <w:rFonts w:ascii="Times New Roman" w:hAnsi="Times New Roman" w:cs="Times New Roman"/>
          <w:color w:val="000000" w:themeColor="text1"/>
          <w:sz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C566E" w:rsidRPr="006372C1" w:rsidRDefault="001F0E0A" w:rsidP="00EF5218">
      <w:pPr>
        <w:widowControl/>
        <w:tabs>
          <w:tab w:val="left" w:pos="56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45</w:t>
      </w:r>
      <w:r w:rsidR="002C566E" w:rsidRPr="006372C1">
        <w:rPr>
          <w:rFonts w:ascii="Times New Roman" w:hAnsi="Times New Roman" w:cs="Times New Roman"/>
          <w:color w:val="000000" w:themeColor="text1"/>
          <w:sz w:val="24"/>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003A1FCE" w:rsidRPr="006372C1">
        <w:rPr>
          <w:rFonts w:ascii="Times New Roman" w:hAnsi="Times New Roman" w:cs="Times New Roman"/>
          <w:color w:val="000000" w:themeColor="text1"/>
          <w:sz w:val="24"/>
        </w:rPr>
        <w:t>43</w:t>
      </w:r>
      <w:r w:rsidR="002C566E" w:rsidRPr="006372C1">
        <w:rPr>
          <w:rFonts w:ascii="Times New Roman" w:hAnsi="Times New Roman" w:cs="Times New Roman"/>
          <w:color w:val="000000" w:themeColor="text1"/>
          <w:sz w:val="24"/>
        </w:rPr>
        <w:t xml:space="preserve"> punkte nustatyta tvarka.</w:t>
      </w:r>
    </w:p>
    <w:p w:rsidR="002C566E" w:rsidRPr="006372C1" w:rsidRDefault="002C566E" w:rsidP="00EF5218">
      <w:pPr>
        <w:widowControl/>
        <w:tabs>
          <w:tab w:val="left" w:pos="56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w:t>
      </w:r>
      <w:r w:rsidR="001F0E0A" w:rsidRPr="006372C1">
        <w:rPr>
          <w:rFonts w:ascii="Times New Roman" w:hAnsi="Times New Roman" w:cs="Times New Roman"/>
          <w:color w:val="000000" w:themeColor="text1"/>
          <w:sz w:val="24"/>
        </w:rPr>
        <w:t>6</w:t>
      </w:r>
      <w:r w:rsidRPr="006372C1">
        <w:rPr>
          <w:rFonts w:ascii="Times New Roman" w:hAnsi="Times New Roman" w:cs="Times New Roman"/>
          <w:color w:val="000000" w:themeColor="text1"/>
          <w:sz w:val="24"/>
        </w:rPr>
        <w:t xml:space="preserve">. Jeigu pirkimo dokumentus paaiškinusi (patikslinusi) perkančioji organizacija jų negali pateikti Taisyklių </w:t>
      </w:r>
      <w:r w:rsidR="003A1FCE" w:rsidRPr="006372C1">
        <w:rPr>
          <w:rFonts w:ascii="Times New Roman" w:hAnsi="Times New Roman" w:cs="Times New Roman"/>
          <w:color w:val="000000" w:themeColor="text1"/>
          <w:sz w:val="24"/>
        </w:rPr>
        <w:t>43</w:t>
      </w:r>
      <w:r w:rsidRPr="006372C1">
        <w:rPr>
          <w:rFonts w:ascii="Times New Roman" w:hAnsi="Times New Roman" w:cs="Times New Roman"/>
          <w:color w:val="000000" w:themeColor="text1"/>
          <w:sz w:val="24"/>
        </w:rPr>
        <w:t xml:space="preserve"> ar </w:t>
      </w:r>
      <w:r w:rsidR="003A1FCE" w:rsidRPr="006372C1">
        <w:rPr>
          <w:rFonts w:ascii="Times New Roman" w:hAnsi="Times New Roman" w:cs="Times New Roman"/>
          <w:color w:val="000000" w:themeColor="text1"/>
          <w:sz w:val="24"/>
        </w:rPr>
        <w:t>44</w:t>
      </w:r>
      <w:r w:rsidRPr="006372C1">
        <w:rPr>
          <w:rFonts w:ascii="Times New Roman" w:hAnsi="Times New Roman" w:cs="Times New Roman"/>
          <w:color w:val="000000" w:themeColor="text1"/>
          <w:sz w:val="24"/>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372C1" w:rsidRPr="006372C1" w:rsidRDefault="002C566E" w:rsidP="00EF5218">
      <w:pPr>
        <w:widowControl/>
        <w:tabs>
          <w:tab w:val="left" w:pos="56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w:t>
      </w:r>
      <w:r w:rsidRPr="006372C1">
        <w:rPr>
          <w:rFonts w:ascii="Times New Roman" w:hAnsi="Times New Roman" w:cs="Times New Roman"/>
          <w:color w:val="000000" w:themeColor="text1"/>
          <w:sz w:val="24"/>
        </w:rPr>
        <w:lastRenderedPageBreak/>
        <w:t>pirkimą paskelbta informacija ir jeigu nepaskelbus apie pasiūlymų pateikimo termino nukėlimą nebus pažeisti pirkimų principai.</w:t>
      </w:r>
    </w:p>
    <w:p w:rsidR="006372C1" w:rsidRPr="006372C1" w:rsidRDefault="006372C1" w:rsidP="00EF5218">
      <w:pPr>
        <w:widowControl/>
        <w:tabs>
          <w:tab w:val="left" w:pos="562"/>
        </w:tabs>
        <w:jc w:val="both"/>
        <w:rPr>
          <w:rFonts w:ascii="Times New Roman" w:hAnsi="Times New Roman" w:cs="Times New Roman"/>
          <w:color w:val="000000" w:themeColor="text1"/>
          <w:sz w:val="24"/>
        </w:rPr>
      </w:pPr>
    </w:p>
    <w:p w:rsidR="002C566E" w:rsidRPr="006372C1" w:rsidRDefault="002C566E" w:rsidP="00EF5218">
      <w:pPr>
        <w:widowControl/>
        <w:jc w:val="both"/>
        <w:rPr>
          <w:rFonts w:ascii="Times New Roman" w:hAnsi="Times New Roman" w:cs="Times New Roman"/>
          <w:color w:val="000000" w:themeColor="text1"/>
          <w:sz w:val="24"/>
        </w:rPr>
      </w:pPr>
    </w:p>
    <w:p w:rsidR="00B123A6" w:rsidRDefault="00B123A6" w:rsidP="00EF5218">
      <w:pPr>
        <w:widowControl/>
        <w:ind w:firstLine="0"/>
        <w:jc w:val="center"/>
        <w:rPr>
          <w:rFonts w:ascii="Times New Roman" w:hAnsi="Times New Roman" w:cs="Times New Roman"/>
          <w:b/>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V.</w:t>
      </w:r>
      <w:r w:rsidR="000F6799">
        <w:rPr>
          <w:rFonts w:ascii="Times New Roman" w:hAnsi="Times New Roman" w:cs="Times New Roman"/>
          <w:b/>
          <w:color w:val="000000" w:themeColor="text1"/>
          <w:sz w:val="24"/>
        </w:rPr>
        <w:t xml:space="preserve"> 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 REIKALAVIMAI PASIŪLYMŲ IR PARAIŠKŲ RENGIMUI</w:t>
      </w:r>
    </w:p>
    <w:p w:rsidR="002C566E" w:rsidRPr="006372C1" w:rsidRDefault="002C566E" w:rsidP="00EF5218">
      <w:pPr>
        <w:widowControl/>
        <w:tabs>
          <w:tab w:val="left" w:pos="566"/>
        </w:tabs>
        <w:jc w:val="both"/>
        <w:rPr>
          <w:rFonts w:ascii="Times New Roman" w:hAnsi="Times New Roman" w:cs="Times New Roman"/>
          <w:color w:val="000000" w:themeColor="text1"/>
          <w:sz w:val="24"/>
        </w:rPr>
      </w:pPr>
    </w:p>
    <w:p w:rsidR="002C566E" w:rsidRPr="006372C1" w:rsidRDefault="002C566E"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w:t>
      </w:r>
      <w:r w:rsidR="001F0E0A"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 Pirkimo dokumentuose nustatant pasiūlymų (projektų) ir paraiškų rengimo ir pateikimo reikalavimus, turi būti nurodyta, kad:</w:t>
      </w:r>
    </w:p>
    <w:p w:rsidR="002C566E" w:rsidRPr="006372C1" w:rsidRDefault="002C566E"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w:t>
      </w:r>
      <w:r w:rsidR="001F0E0A"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C566E" w:rsidRPr="006372C1" w:rsidRDefault="002C566E"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w:t>
      </w:r>
      <w:r w:rsidR="001F0E0A"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.2. ne elektroninėmis priemonėmis teikiami pasiūlymai turi būti įdėti į voką, kuris užklijuojamas, ant jo užrašomas pirkimo pavadinimas, tiekėjo pavadinimas ir adresas, nurodoma „neatplėšti iki...“ (nurodoma pasiūlymų pateikimo termino pabaiga);</w:t>
      </w:r>
    </w:p>
    <w:p w:rsidR="002C566E" w:rsidRPr="006372C1" w:rsidRDefault="002C566E"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w:t>
      </w:r>
      <w:r w:rsidR="001F0E0A"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2C566E" w:rsidRPr="006372C1" w:rsidRDefault="002C566E"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w:t>
      </w:r>
      <w:r w:rsidR="001F0E0A"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C566E" w:rsidRPr="006372C1" w:rsidRDefault="002C566E" w:rsidP="00EF5218">
      <w:pPr>
        <w:widowControl/>
        <w:tabs>
          <w:tab w:val="left" w:pos="76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w:t>
      </w:r>
      <w:r w:rsidR="001F0E0A"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Tuo atveju, kai pasiūlymas yra didelės apimties ir susideda iš kelių dalių, šis reikalavimas taikomas kiekvienai pasiūlymo daliai. Reikalavimai pasiūlymą ar jo dalis pateikti vokuose, pasiūlymą sunumeruoti, susiūti, paskutinio lapo antroje pusėje patvirtinti tiekėjo ar jo įgalioto asmens, p</w:t>
      </w:r>
      <w:r w:rsidR="00E4789A">
        <w:rPr>
          <w:rFonts w:ascii="Times New Roman" w:hAnsi="Times New Roman" w:cs="Times New Roman"/>
          <w:color w:val="000000" w:themeColor="text1"/>
          <w:sz w:val="24"/>
        </w:rPr>
        <w:t>a</w:t>
      </w:r>
      <w:r w:rsidRPr="006372C1">
        <w:rPr>
          <w:rFonts w:ascii="Times New Roman" w:hAnsi="Times New Roman" w:cs="Times New Roman"/>
          <w:color w:val="000000" w:themeColor="text1"/>
          <w:sz w:val="24"/>
        </w:rPr>
        <w:t>rašu, nurodyti tiekėjo ar jo įgalioto asmens vardą, pavardę, pareigas (jei yra) ir pasiūlymą sudarančių lapų skaičių netaikomi, jeigu perkančioji organizacija priima elektroninėmis priemonėmis pateiktus pasiūlymus.</w:t>
      </w:r>
    </w:p>
    <w:p w:rsidR="002C566E" w:rsidRPr="006372C1" w:rsidRDefault="002C566E" w:rsidP="00EF5218">
      <w:pPr>
        <w:widowControl/>
        <w:tabs>
          <w:tab w:val="left" w:pos="56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4</w:t>
      </w:r>
      <w:r w:rsidR="001F0E0A"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372C1" w:rsidRPr="006372C1" w:rsidRDefault="001F0E0A" w:rsidP="00AC2384">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50</w:t>
      </w:r>
      <w:r w:rsidR="00AC2384" w:rsidRPr="006372C1">
        <w:rPr>
          <w:rFonts w:ascii="Times New Roman" w:hAnsi="Times New Roman" w:cs="Times New Roman"/>
          <w:color w:val="000000" w:themeColor="text1"/>
          <w:sz w:val="24"/>
        </w:rPr>
        <w:t>.</w:t>
      </w:r>
      <w:r w:rsidR="00C16CA9" w:rsidRPr="006372C1">
        <w:rPr>
          <w:rFonts w:ascii="Times New Roman" w:hAnsi="Times New Roman" w:cs="Times New Roman"/>
          <w:color w:val="000000" w:themeColor="text1"/>
          <w:sz w:val="24"/>
        </w:rPr>
        <w:t xml:space="preserve"> </w:t>
      </w:r>
      <w:r w:rsidR="00AC2384" w:rsidRPr="006372C1">
        <w:rPr>
          <w:rFonts w:ascii="Times New Roman" w:hAnsi="Times New Roman" w:cs="Times New Roman"/>
          <w:color w:val="000000" w:themeColor="text1"/>
          <w:sz w:val="24"/>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w:t>
      </w:r>
      <w:r w:rsidR="00AC2384" w:rsidRPr="006372C1">
        <w:rPr>
          <w:rFonts w:ascii="Times New Roman" w:hAnsi="Times New Roman" w:cs="Times New Roman"/>
          <w:color w:val="000000" w:themeColor="text1"/>
          <w:sz w:val="24"/>
        </w:rPr>
        <w:lastRenderedPageBreak/>
        <w:t xml:space="preserve">per jos nustatytą protingą terminą, kuris negali būti trumpesnis kaip 3 darbo dienos nuo prašymo išsiuntimo iš perkančiosios organizacijos dienos. </w:t>
      </w:r>
    </w:p>
    <w:p w:rsidR="00AC2384" w:rsidRPr="006372C1" w:rsidRDefault="00AC2384" w:rsidP="00EF5218">
      <w:pPr>
        <w:widowControl/>
        <w:tabs>
          <w:tab w:val="left" w:pos="562"/>
        </w:tabs>
        <w:jc w:val="both"/>
        <w:rPr>
          <w:rFonts w:ascii="Times New Roman" w:hAnsi="Times New Roman" w:cs="Times New Roman"/>
          <w:color w:val="000000" w:themeColor="text1"/>
          <w:sz w:val="24"/>
        </w:rPr>
      </w:pPr>
    </w:p>
    <w:p w:rsidR="00F94145" w:rsidRPr="006372C1" w:rsidRDefault="00F94145" w:rsidP="00EF5218">
      <w:pPr>
        <w:widowControl/>
        <w:tabs>
          <w:tab w:val="left" w:pos="562"/>
        </w:tabs>
        <w:jc w:val="both"/>
        <w:rPr>
          <w:rFonts w:ascii="Times New Roman" w:hAnsi="Times New Roman" w:cs="Times New Roman"/>
          <w:color w:val="000000" w:themeColor="text1"/>
          <w:sz w:val="24"/>
        </w:rPr>
      </w:pPr>
    </w:p>
    <w:p w:rsidR="002C566E" w:rsidRPr="006372C1" w:rsidRDefault="002C566E" w:rsidP="00EF5218">
      <w:pPr>
        <w:widowControl/>
        <w:jc w:val="both"/>
        <w:rPr>
          <w:rFonts w:ascii="Times New Roman" w:hAnsi="Times New Roman" w:cs="Times New Roman"/>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VI.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TECHNINĖ SPECIFIKACIJA</w:t>
      </w:r>
    </w:p>
    <w:p w:rsidR="002C566E" w:rsidRPr="006372C1" w:rsidRDefault="002C566E" w:rsidP="00EF5218">
      <w:pPr>
        <w:widowControl/>
        <w:tabs>
          <w:tab w:val="left" w:pos="562"/>
        </w:tabs>
        <w:jc w:val="both"/>
        <w:rPr>
          <w:rFonts w:ascii="Times New Roman" w:hAnsi="Times New Roman" w:cs="Times New Roman"/>
          <w:color w:val="000000" w:themeColor="text1"/>
          <w:sz w:val="24"/>
        </w:rPr>
      </w:pPr>
    </w:p>
    <w:p w:rsidR="00F94145" w:rsidRPr="006372C1" w:rsidRDefault="00F94145" w:rsidP="00EF5218">
      <w:pPr>
        <w:widowControl/>
        <w:tabs>
          <w:tab w:val="left" w:pos="562"/>
        </w:tabs>
        <w:jc w:val="both"/>
        <w:rPr>
          <w:rFonts w:ascii="Times New Roman" w:hAnsi="Times New Roman" w:cs="Times New Roman"/>
          <w:color w:val="000000" w:themeColor="text1"/>
          <w:sz w:val="24"/>
        </w:rPr>
      </w:pPr>
    </w:p>
    <w:p w:rsidR="002C566E" w:rsidRPr="006372C1" w:rsidRDefault="001F0E0A" w:rsidP="00EF5218">
      <w:pPr>
        <w:widowControl/>
        <w:tabs>
          <w:tab w:val="left" w:pos="56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51</w:t>
      </w:r>
      <w:r w:rsidR="002C566E" w:rsidRPr="006372C1">
        <w:rPr>
          <w:rFonts w:ascii="Times New Roman" w:hAnsi="Times New Roman" w:cs="Times New Roman"/>
          <w:color w:val="000000" w:themeColor="text1"/>
          <w:sz w:val="24"/>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C566E" w:rsidRPr="006372C1" w:rsidRDefault="001F0E0A" w:rsidP="00EF5218">
      <w:pPr>
        <w:widowControl/>
        <w:tabs>
          <w:tab w:val="left" w:pos="56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52</w:t>
      </w:r>
      <w:r w:rsidR="002C566E" w:rsidRPr="006372C1">
        <w:rPr>
          <w:rFonts w:ascii="Times New Roman" w:hAnsi="Times New Roman" w:cs="Times New Roman"/>
          <w:color w:val="000000" w:themeColor="text1"/>
          <w:sz w:val="24"/>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2C566E" w:rsidRPr="006372C1" w:rsidRDefault="001F0E0A" w:rsidP="00EF5218">
      <w:pPr>
        <w:widowControl/>
        <w:tabs>
          <w:tab w:val="left" w:pos="56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53</w:t>
      </w:r>
      <w:r w:rsidR="002C566E" w:rsidRPr="006372C1">
        <w:rPr>
          <w:rFonts w:ascii="Times New Roman" w:hAnsi="Times New Roman" w:cs="Times New Roman"/>
          <w:color w:val="000000" w:themeColor="text1"/>
          <w:sz w:val="24"/>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2C566E" w:rsidRPr="006372C1" w:rsidRDefault="001F0E0A" w:rsidP="00EF5218">
      <w:pPr>
        <w:widowControl/>
        <w:tabs>
          <w:tab w:val="left" w:pos="56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54</w:t>
      </w:r>
      <w:r w:rsidR="002C566E" w:rsidRPr="006372C1">
        <w:rPr>
          <w:rFonts w:ascii="Times New Roman" w:hAnsi="Times New Roman" w:cs="Times New Roman"/>
          <w:color w:val="000000" w:themeColor="text1"/>
          <w:sz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2C566E" w:rsidRPr="006372C1" w:rsidRDefault="001F0E0A" w:rsidP="00EF5218">
      <w:pPr>
        <w:widowControl/>
        <w:tabs>
          <w:tab w:val="left" w:pos="56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55</w:t>
      </w:r>
      <w:r w:rsidR="002C566E" w:rsidRPr="006372C1">
        <w:rPr>
          <w:rFonts w:ascii="Times New Roman" w:hAnsi="Times New Roman" w:cs="Times New Roman"/>
          <w:color w:val="000000" w:themeColor="text1"/>
          <w:sz w:val="24"/>
        </w:rPr>
        <w:t>. Jei leidžiama pateikti alternatyvius pasiūlymus, nurodomi minimalūs reikalavimai, kuriuos šie pasiūlymai turi atitikti. Alternatyvūs pasiūlymai negali būti priimami, vertinant mažiausios kainos kriterijumi.</w:t>
      </w:r>
    </w:p>
    <w:p w:rsidR="002C566E" w:rsidRPr="006372C1" w:rsidRDefault="001F0E0A" w:rsidP="00EF5218">
      <w:pPr>
        <w:widowControl/>
        <w:tabs>
          <w:tab w:val="left" w:pos="56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56</w:t>
      </w:r>
      <w:r w:rsidR="002C566E" w:rsidRPr="006372C1">
        <w:rPr>
          <w:rFonts w:ascii="Times New Roman" w:hAnsi="Times New Roman" w:cs="Times New Roman"/>
          <w:color w:val="000000" w:themeColor="text1"/>
          <w:sz w:val="24"/>
        </w:rPr>
        <w:t xml:space="preserve">. Rengiant techninę specifikaciją, negalima nurodyti </w:t>
      </w:r>
      <w:r w:rsidR="00DE0049" w:rsidRPr="006372C1">
        <w:rPr>
          <w:rFonts w:ascii="Times New Roman" w:hAnsi="Times New Roman" w:cs="Times New Roman"/>
          <w:color w:val="000000" w:themeColor="text1"/>
          <w:sz w:val="24"/>
        </w:rPr>
        <w:t xml:space="preserve"> konkretaus modelio</w:t>
      </w:r>
      <w:r w:rsidR="002C566E" w:rsidRPr="006372C1">
        <w:rPr>
          <w:rFonts w:ascii="Times New Roman" w:hAnsi="Times New Roman" w:cs="Times New Roman"/>
          <w:color w:val="000000" w:themeColor="text1"/>
          <w:sz w:val="24"/>
        </w:rPr>
        <w:t xml:space="preserve"> ar  šaltinio,  </w:t>
      </w:r>
      <w:r w:rsidR="00DE0049" w:rsidRPr="006372C1">
        <w:rPr>
          <w:rFonts w:ascii="Times New Roman" w:hAnsi="Times New Roman" w:cs="Times New Roman"/>
          <w:color w:val="000000" w:themeColor="text1"/>
          <w:sz w:val="24"/>
        </w:rPr>
        <w:t xml:space="preserve">konkretaus </w:t>
      </w:r>
      <w:r w:rsidR="002C566E" w:rsidRPr="006372C1">
        <w:rPr>
          <w:rFonts w:ascii="Times New Roman" w:hAnsi="Times New Roman" w:cs="Times New Roman"/>
          <w:color w:val="000000" w:themeColor="text1"/>
          <w:sz w:val="24"/>
        </w:rPr>
        <w:t>proceso</w:t>
      </w:r>
      <w:r w:rsidR="00DE0049" w:rsidRPr="006372C1">
        <w:rPr>
          <w:rFonts w:ascii="Times New Roman" w:hAnsi="Times New Roman" w:cs="Times New Roman"/>
          <w:color w:val="000000" w:themeColor="text1"/>
          <w:sz w:val="24"/>
        </w:rPr>
        <w:t xml:space="preserve">  ar </w:t>
      </w:r>
      <w:r w:rsidR="002C566E" w:rsidRPr="006372C1">
        <w:rPr>
          <w:rFonts w:ascii="Times New Roman" w:hAnsi="Times New Roman" w:cs="Times New Roman"/>
          <w:color w:val="000000" w:themeColor="text1"/>
          <w:sz w:val="24"/>
        </w:rPr>
        <w:t xml:space="preserve"> prekės ženklo, patento, </w:t>
      </w:r>
      <w:r w:rsidR="00DE0049" w:rsidRPr="006372C1">
        <w:rPr>
          <w:rFonts w:ascii="Times New Roman" w:hAnsi="Times New Roman" w:cs="Times New Roman"/>
          <w:color w:val="000000" w:themeColor="text1"/>
          <w:sz w:val="24"/>
        </w:rPr>
        <w:t>tipo, konkrečios kilmės ar gamybos, dėl kurių tam tikroms įmonėms ar tam tikriems produktams būtų sudarytos palankesnė</w:t>
      </w:r>
      <w:r w:rsidR="006372C1" w:rsidRPr="006372C1">
        <w:rPr>
          <w:rFonts w:ascii="Times New Roman" w:hAnsi="Times New Roman" w:cs="Times New Roman"/>
          <w:color w:val="000000" w:themeColor="text1"/>
          <w:sz w:val="24"/>
        </w:rPr>
        <w:t>s sąlygos arba jie būtų atmesti,</w:t>
      </w:r>
      <w:r w:rsidR="002C566E" w:rsidRPr="006372C1">
        <w:rPr>
          <w:rFonts w:ascii="Times New Roman" w:hAnsi="Times New Roman" w:cs="Times New Roman"/>
          <w:color w:val="000000" w:themeColor="text1"/>
          <w:sz w:val="24"/>
        </w:rPr>
        <w:t xml:space="preserve"> išskyrus atvejus, kai neįmanoma tiksliai ir suprantamai apibūdinti pirkimo objekto. Šiuo atveju privaloma nurodyti, kad savo savybėmis lygiaverčiai pirkimo objektai yra priimtini, įrašant žodžius „arba lygiavertis“.</w:t>
      </w:r>
    </w:p>
    <w:p w:rsidR="002C566E" w:rsidRPr="006372C1" w:rsidRDefault="002C566E" w:rsidP="00EF5218">
      <w:pPr>
        <w:widowControl/>
        <w:tabs>
          <w:tab w:val="left" w:pos="55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5</w:t>
      </w:r>
      <w:r w:rsidR="001F0E0A"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xml:space="preserve">. </w:t>
      </w:r>
      <w:r w:rsidR="00ED7F6F" w:rsidRPr="006372C1">
        <w:rPr>
          <w:rFonts w:ascii="Times New Roman" w:hAnsi="Times New Roman"/>
          <w:color w:val="000000" w:themeColor="text1"/>
          <w:sz w:val="24"/>
        </w:rPr>
        <w:t xml:space="preserve">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w:t>
      </w:r>
      <w:r w:rsidR="00ED7F6F" w:rsidRPr="006372C1">
        <w:rPr>
          <w:rFonts w:ascii="Times New Roman" w:hAnsi="Times New Roman"/>
          <w:color w:val="000000" w:themeColor="text1"/>
          <w:sz w:val="24"/>
        </w:rPr>
        <w:lastRenderedPageBreak/>
        <w:t>patvirtinimo“, nustatytais atvejais turi apimti šiame tvarkos sąraše nustatytus energijos vartojimo efektyvumo ir aplinkos apsaugos reikalavimus.</w:t>
      </w:r>
    </w:p>
    <w:p w:rsidR="00ED7F6F" w:rsidRPr="006372C1" w:rsidRDefault="002C566E" w:rsidP="00ED7F6F">
      <w:pPr>
        <w:widowControl/>
        <w:tabs>
          <w:tab w:val="left" w:pos="552"/>
        </w:tabs>
        <w:jc w:val="both"/>
        <w:rPr>
          <w:rFonts w:ascii="Times New Roman" w:hAnsi="Times New Roman"/>
          <w:color w:val="000000" w:themeColor="text1"/>
          <w:sz w:val="24"/>
        </w:rPr>
      </w:pPr>
      <w:r w:rsidRPr="006372C1">
        <w:rPr>
          <w:rFonts w:ascii="Times New Roman" w:hAnsi="Times New Roman" w:cs="Times New Roman"/>
          <w:color w:val="000000" w:themeColor="text1"/>
          <w:sz w:val="24"/>
        </w:rPr>
        <w:t>5</w:t>
      </w:r>
      <w:r w:rsidR="001F0E0A"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 xml:space="preserve">. </w:t>
      </w:r>
      <w:r w:rsidR="00ED7F6F" w:rsidRPr="006372C1">
        <w:rPr>
          <w:rFonts w:ascii="Times New Roman" w:hAnsi="Times New Roman"/>
          <w:color w:val="000000" w:themeColor="text1"/>
          <w:sz w:val="24"/>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Perkančioji organizacija iš anksto skelbia pirkimų </w:t>
      </w:r>
      <w:r w:rsidR="006372C1" w:rsidRPr="006372C1">
        <w:rPr>
          <w:rFonts w:ascii="Times New Roman" w:hAnsi="Times New Roman"/>
          <w:color w:val="000000" w:themeColor="text1"/>
          <w:sz w:val="24"/>
        </w:rPr>
        <w:t>(</w:t>
      </w:r>
      <w:r w:rsidR="00D40B84" w:rsidRPr="006372C1">
        <w:rPr>
          <w:rFonts w:ascii="Times New Roman" w:hAnsi="Times New Roman"/>
          <w:color w:val="000000" w:themeColor="text1"/>
          <w:sz w:val="24"/>
        </w:rPr>
        <w:t xml:space="preserve"> mažos vertės pirkimų atveju – gali skelbti)</w:t>
      </w:r>
      <w:r w:rsidR="00ED7F6F" w:rsidRPr="006372C1">
        <w:rPr>
          <w:rFonts w:ascii="Times New Roman" w:hAnsi="Times New Roman"/>
          <w:color w:val="000000" w:themeColor="text1"/>
          <w:sz w:val="24"/>
        </w:rPr>
        <w:t xml:space="preserve">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,,Dėl informacijos apie planuojamus vykdyti viešuosius pirkimus skelbimo centrinėje viešųjų pirkimų informacinėje sistemoje tvarkos aprašo patvirtinimo.</w:t>
      </w:r>
    </w:p>
    <w:p w:rsidR="00ED7F6F" w:rsidRPr="006372C1" w:rsidRDefault="00ED7F6F" w:rsidP="00ED7F6F">
      <w:pPr>
        <w:widowControl/>
        <w:tabs>
          <w:tab w:val="left" w:pos="552"/>
        </w:tabs>
        <w:jc w:val="both"/>
        <w:rPr>
          <w:rFonts w:ascii="Times New Roman" w:hAnsi="Times New Roman" w:cs="Times New Roman"/>
          <w:color w:val="000000" w:themeColor="text1"/>
          <w:sz w:val="24"/>
        </w:rPr>
      </w:pPr>
    </w:p>
    <w:p w:rsidR="002C566E" w:rsidRPr="006372C1" w:rsidRDefault="002C566E" w:rsidP="00EF5218">
      <w:pPr>
        <w:widowControl/>
        <w:tabs>
          <w:tab w:val="left" w:pos="552"/>
        </w:tabs>
        <w:jc w:val="both"/>
        <w:rPr>
          <w:rFonts w:ascii="Times New Roman" w:hAnsi="Times New Roman" w:cs="Times New Roman"/>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VII.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TIEKĖJŲ KVALIFIKACIJOS PATIKRINIMAS</w:t>
      </w:r>
    </w:p>
    <w:p w:rsidR="002C566E" w:rsidRPr="006372C1" w:rsidRDefault="002C566E" w:rsidP="00EF5218">
      <w:pPr>
        <w:widowControl/>
        <w:tabs>
          <w:tab w:val="left" w:pos="552"/>
        </w:tabs>
        <w:jc w:val="both"/>
        <w:rPr>
          <w:rFonts w:ascii="Times New Roman" w:hAnsi="Times New Roman" w:cs="Times New Roman"/>
          <w:color w:val="000000" w:themeColor="text1"/>
          <w:sz w:val="24"/>
        </w:rPr>
      </w:pPr>
    </w:p>
    <w:p w:rsidR="00973ABB" w:rsidRPr="006372C1" w:rsidRDefault="002C566E" w:rsidP="00EF5218">
      <w:pPr>
        <w:widowControl/>
        <w:tabs>
          <w:tab w:val="left" w:pos="552"/>
        </w:tabs>
        <w:jc w:val="both"/>
        <w:rPr>
          <w:rFonts w:ascii="Times New Roman" w:hAnsi="Times New Roman" w:cs="Times New Roman"/>
          <w:color w:val="000000" w:themeColor="text1"/>
          <w:sz w:val="24"/>
          <w:lang w:eastAsia="sl-SI"/>
        </w:rPr>
      </w:pPr>
      <w:r w:rsidRPr="006372C1">
        <w:rPr>
          <w:rFonts w:ascii="Times New Roman" w:hAnsi="Times New Roman" w:cs="Times New Roman"/>
          <w:color w:val="000000" w:themeColor="text1"/>
          <w:sz w:val="24"/>
        </w:rPr>
        <w:t>5</w:t>
      </w:r>
      <w:r w:rsidR="001F0E0A"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w:t>
      </w:r>
      <w:r w:rsidR="00973ABB" w:rsidRPr="006372C1">
        <w:rPr>
          <w:rFonts w:ascii="Times New Roman" w:hAnsi="Times New Roman" w:cs="Times New Roman"/>
          <w:color w:val="000000" w:themeColor="text1"/>
          <w:sz w:val="24"/>
          <w:lang w:eastAsia="sl-SI"/>
        </w:rPr>
        <w:t xml:space="preserve">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w:t>
      </w:r>
    </w:p>
    <w:p w:rsidR="00BE7E27" w:rsidRPr="006372C1" w:rsidRDefault="00973ABB" w:rsidP="006372C1">
      <w:pPr>
        <w:widowControl/>
        <w:tabs>
          <w:tab w:val="left" w:pos="552"/>
        </w:tabs>
        <w:jc w:val="both"/>
        <w:rPr>
          <w:rFonts w:ascii="Times New Roman" w:hAnsi="Times New Roman" w:cs="Times New Roman"/>
          <w:strike/>
          <w:color w:val="000000" w:themeColor="text1"/>
          <w:sz w:val="24"/>
        </w:rPr>
      </w:pPr>
      <w:r w:rsidRPr="006372C1">
        <w:rPr>
          <w:rFonts w:ascii="Times New Roman" w:hAnsi="Times New Roman" w:cs="Times New Roman"/>
          <w:color w:val="000000" w:themeColor="text1"/>
          <w:sz w:val="24"/>
          <w:lang w:eastAsia="sl-SI"/>
        </w:rPr>
        <w:t xml:space="preserve">60.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 </w:t>
      </w:r>
    </w:p>
    <w:p w:rsidR="002C566E" w:rsidRPr="006372C1" w:rsidRDefault="001F0E0A" w:rsidP="00EF5218">
      <w:pPr>
        <w:widowControl/>
        <w:tabs>
          <w:tab w:val="left" w:pos="55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61</w:t>
      </w:r>
      <w:r w:rsidR="002C566E" w:rsidRPr="006372C1">
        <w:rPr>
          <w:rFonts w:ascii="Times New Roman" w:hAnsi="Times New Roman" w:cs="Times New Roman"/>
          <w:color w:val="000000" w:themeColor="text1"/>
          <w:sz w:val="24"/>
        </w:rPr>
        <w:t>. Tiekėjų kvalifikacijos neprivaloma tikrinti, kai:</w:t>
      </w:r>
    </w:p>
    <w:p w:rsidR="002C566E" w:rsidRPr="006372C1" w:rsidRDefault="001F0E0A"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61</w:t>
      </w:r>
      <w:r w:rsidR="002C566E" w:rsidRPr="006372C1">
        <w:rPr>
          <w:rFonts w:ascii="Times New Roman" w:hAnsi="Times New Roman" w:cs="Times New Roman"/>
          <w:color w:val="000000" w:themeColor="text1"/>
          <w:sz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C566E" w:rsidRPr="006372C1" w:rsidRDefault="001F0E0A"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61</w:t>
      </w:r>
      <w:r w:rsidR="002C566E" w:rsidRPr="006372C1">
        <w:rPr>
          <w:rFonts w:ascii="Times New Roman" w:hAnsi="Times New Roman" w:cs="Times New Roman"/>
          <w:color w:val="000000" w:themeColor="text1"/>
          <w:sz w:val="24"/>
        </w:rPr>
        <w:t>.2. dėl techninių priežasčių</w:t>
      </w:r>
      <w:r w:rsidR="00973ABB" w:rsidRPr="006372C1">
        <w:rPr>
          <w:rFonts w:ascii="Times New Roman" w:hAnsi="Times New Roman" w:cs="Times New Roman"/>
          <w:color w:val="000000" w:themeColor="text1"/>
          <w:sz w:val="24"/>
        </w:rPr>
        <w:t>, meninio kūrinio sukūrimo arba įsigijimo</w:t>
      </w:r>
      <w:r w:rsidR="002C566E" w:rsidRPr="006372C1">
        <w:rPr>
          <w:rFonts w:ascii="Times New Roman" w:hAnsi="Times New Roman" w:cs="Times New Roman"/>
          <w:color w:val="000000" w:themeColor="text1"/>
          <w:sz w:val="24"/>
        </w:rPr>
        <w:t xml:space="preserve"> ar dėl objektyvių aplinkybių</w:t>
      </w:r>
      <w:r w:rsidR="00973ABB" w:rsidRPr="006372C1">
        <w:rPr>
          <w:rFonts w:ascii="Times New Roman" w:hAnsi="Times New Roman" w:cs="Times New Roman"/>
          <w:color w:val="000000" w:themeColor="text1"/>
          <w:sz w:val="24"/>
        </w:rPr>
        <w:t>, patentų, kitų intelektinės nuosavybės teisių ar kitų išimtinių teisių apsaugos</w:t>
      </w:r>
      <w:r w:rsidR="002C566E" w:rsidRPr="006372C1">
        <w:rPr>
          <w:rFonts w:ascii="Times New Roman" w:hAnsi="Times New Roman" w:cs="Times New Roman"/>
          <w:color w:val="000000" w:themeColor="text1"/>
          <w:sz w:val="24"/>
        </w:rPr>
        <w:t xml:space="preserve"> tik konkretus tiekėjas gali patiekti reikalingas prekes, pateikti paslaugas ar atlikti darbus ir nėra jokios kitos alternatyvos;</w:t>
      </w:r>
    </w:p>
    <w:p w:rsidR="002C566E" w:rsidRPr="006372C1" w:rsidRDefault="001F0E0A"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61</w:t>
      </w:r>
      <w:r w:rsidR="002C566E" w:rsidRPr="006372C1">
        <w:rPr>
          <w:rFonts w:ascii="Times New Roman" w:hAnsi="Times New Roman" w:cs="Times New Roman"/>
          <w:color w:val="000000" w:themeColor="text1"/>
          <w:sz w:val="24"/>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C566E" w:rsidRPr="006372C1" w:rsidRDefault="001F0E0A"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61</w:t>
      </w:r>
      <w:r w:rsidR="002C566E" w:rsidRPr="006372C1">
        <w:rPr>
          <w:rFonts w:ascii="Times New Roman" w:hAnsi="Times New Roman" w:cs="Times New Roman"/>
          <w:color w:val="000000" w:themeColor="text1"/>
          <w:sz w:val="24"/>
        </w:rPr>
        <w:t>.4. prekių biržoje perkamos kotiruojamos prekės;</w:t>
      </w:r>
    </w:p>
    <w:p w:rsidR="002C566E" w:rsidRPr="006372C1" w:rsidRDefault="001F0E0A"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61</w:t>
      </w:r>
      <w:r w:rsidR="002C566E" w:rsidRPr="006372C1">
        <w:rPr>
          <w:rFonts w:ascii="Times New Roman" w:hAnsi="Times New Roman" w:cs="Times New Roman"/>
          <w:color w:val="000000" w:themeColor="text1"/>
          <w:sz w:val="24"/>
        </w:rPr>
        <w:t>.5. perkami muziejų eksponatai, archyviniai ir bibliotekiniai dokumentai, yra prenumeruojami laikraščiai ir žurnalai;</w:t>
      </w:r>
    </w:p>
    <w:p w:rsidR="002C566E" w:rsidRPr="006372C1" w:rsidRDefault="001F0E0A"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lastRenderedPageBreak/>
        <w:t>61</w:t>
      </w:r>
      <w:r w:rsidR="002C566E" w:rsidRPr="006372C1">
        <w:rPr>
          <w:rFonts w:ascii="Times New Roman" w:hAnsi="Times New Roman" w:cs="Times New Roman"/>
          <w:color w:val="000000" w:themeColor="text1"/>
          <w:sz w:val="24"/>
        </w:rPr>
        <w:t>.6. ypač palankiomis sąlygomis perkama iš bankrutuojančių, likviduojamų, restruktūrizuojamų ar sustabdžiusių veiklą ūkio subjektų;</w:t>
      </w:r>
    </w:p>
    <w:p w:rsidR="002C566E" w:rsidRPr="006372C1" w:rsidRDefault="001F0E0A" w:rsidP="00EF5218">
      <w:pPr>
        <w:widowControl/>
        <w:tabs>
          <w:tab w:val="left" w:pos="696"/>
        </w:tabs>
        <w:jc w:val="both"/>
        <w:rPr>
          <w:rFonts w:ascii="Times New Roman" w:hAnsi="Times New Roman" w:cs="Times New Roman"/>
          <w:strike/>
          <w:color w:val="000000" w:themeColor="text1"/>
          <w:sz w:val="24"/>
        </w:rPr>
      </w:pPr>
      <w:r w:rsidRPr="006372C1">
        <w:rPr>
          <w:rFonts w:ascii="Times New Roman" w:hAnsi="Times New Roman" w:cs="Times New Roman"/>
          <w:color w:val="000000" w:themeColor="text1"/>
          <w:sz w:val="24"/>
        </w:rPr>
        <w:t>61</w:t>
      </w:r>
      <w:r w:rsidR="002C566E" w:rsidRPr="006372C1">
        <w:rPr>
          <w:rFonts w:ascii="Times New Roman" w:hAnsi="Times New Roman" w:cs="Times New Roman"/>
          <w:color w:val="000000" w:themeColor="text1"/>
          <w:sz w:val="24"/>
        </w:rPr>
        <w:t xml:space="preserve">.7. perkamos literatūros, mokslo ir meno kūrinių autorių, atlikėjų ar jų kolektyvo paslaugos, taip pat mokslo, kultūros ir meno sričių projektų vertinimo </w:t>
      </w:r>
      <w:r w:rsidR="00117877" w:rsidRPr="006372C1">
        <w:rPr>
          <w:rFonts w:ascii="Times New Roman" w:hAnsi="Times New Roman" w:cs="Times New Roman"/>
          <w:color w:val="000000" w:themeColor="text1"/>
          <w:sz w:val="24"/>
        </w:rPr>
        <w:t xml:space="preserve"> ir pretendentų gauti teisės aktų nustatyta tvarka įsteigtas premijas</w:t>
      </w:r>
      <w:r w:rsidR="00BB0C42" w:rsidRPr="006372C1">
        <w:rPr>
          <w:rFonts w:ascii="Times New Roman" w:hAnsi="Times New Roman" w:cs="Times New Roman"/>
          <w:color w:val="000000" w:themeColor="text1"/>
          <w:sz w:val="24"/>
        </w:rPr>
        <w:t xml:space="preserve"> veiklos šiose srityse vertinimo </w:t>
      </w:r>
      <w:r w:rsidR="00117877" w:rsidRPr="006372C1">
        <w:rPr>
          <w:rFonts w:ascii="Times New Roman" w:hAnsi="Times New Roman" w:cs="Times New Roman"/>
          <w:color w:val="000000" w:themeColor="text1"/>
          <w:sz w:val="24"/>
        </w:rPr>
        <w:t xml:space="preserve"> </w:t>
      </w:r>
      <w:r w:rsidR="002C566E" w:rsidRPr="006372C1">
        <w:rPr>
          <w:rFonts w:ascii="Times New Roman" w:hAnsi="Times New Roman" w:cs="Times New Roman"/>
          <w:color w:val="000000" w:themeColor="text1"/>
          <w:sz w:val="24"/>
        </w:rPr>
        <w:t>paslaugos</w:t>
      </w:r>
      <w:r w:rsidR="002C566E" w:rsidRPr="006372C1">
        <w:rPr>
          <w:rFonts w:ascii="Times New Roman" w:hAnsi="Times New Roman" w:cs="Times New Roman"/>
          <w:strike/>
          <w:color w:val="000000" w:themeColor="text1"/>
          <w:sz w:val="24"/>
        </w:rPr>
        <w:t>;</w:t>
      </w:r>
    </w:p>
    <w:p w:rsidR="002C566E" w:rsidRPr="006372C1" w:rsidRDefault="001F0E0A"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61</w:t>
      </w:r>
      <w:r w:rsidR="002C566E" w:rsidRPr="006372C1">
        <w:rPr>
          <w:rFonts w:ascii="Times New Roman" w:hAnsi="Times New Roman" w:cs="Times New Roman"/>
          <w:color w:val="000000" w:themeColor="text1"/>
          <w:sz w:val="24"/>
        </w:rPr>
        <w:t>.8.</w:t>
      </w:r>
      <w:r w:rsidR="00BB0C42" w:rsidRPr="006372C1">
        <w:rPr>
          <w:rFonts w:ascii="Times New Roman" w:hAnsi="Times New Roman" w:cs="Times New Roman"/>
          <w:color w:val="000000" w:themeColor="text1"/>
          <w:sz w:val="24"/>
        </w:rPr>
        <w:t xml:space="preserve"> </w:t>
      </w:r>
      <w:r w:rsidR="002C566E" w:rsidRPr="006372C1">
        <w:rPr>
          <w:rFonts w:ascii="Times New Roman" w:hAnsi="Times New Roman" w:cs="Times New Roman"/>
          <w:color w:val="000000" w:themeColor="text1"/>
          <w:sz w:val="24"/>
        </w:rPr>
        <w:t>perkamos licencijos naudotis bibliotekiniais dokumentais ar duomenų (informacinėmis) bazėmis;</w:t>
      </w:r>
    </w:p>
    <w:p w:rsidR="002C566E" w:rsidRPr="006372C1" w:rsidRDefault="001F0E0A"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61</w:t>
      </w:r>
      <w:r w:rsidR="002C566E" w:rsidRPr="006372C1">
        <w:rPr>
          <w:rFonts w:ascii="Times New Roman" w:hAnsi="Times New Roman" w:cs="Times New Roman"/>
          <w:color w:val="000000" w:themeColor="text1"/>
          <w:sz w:val="24"/>
        </w:rPr>
        <w:t xml:space="preserve">.9. </w:t>
      </w:r>
      <w:r w:rsidR="00117877" w:rsidRPr="006372C1">
        <w:rPr>
          <w:rFonts w:ascii="Times New Roman" w:hAnsi="Times New Roman" w:cs="Times New Roman"/>
          <w:color w:val="000000" w:themeColor="text1"/>
          <w:sz w:val="24"/>
        </w:rPr>
        <w:t xml:space="preserve"> </w:t>
      </w:r>
      <w:r w:rsidR="002C566E" w:rsidRPr="006372C1">
        <w:rPr>
          <w:rFonts w:ascii="Times New Roman" w:hAnsi="Times New Roman" w:cs="Times New Roman"/>
          <w:color w:val="000000" w:themeColor="text1"/>
          <w:sz w:val="24"/>
        </w:rPr>
        <w:t>dėl aplinkybių, kurių nebuvo galima numatyti, paaiškėja, kad yra reikalingi papildomi darbai arba paslaugos, kurie nebuvo įrašyti į sudarytą pirkimo sutartį, tačiau be kurių negalima užbaigti pirkimo sutarties vykdymo</w:t>
      </w:r>
      <w:r w:rsidR="00117877" w:rsidRPr="006372C1">
        <w:rPr>
          <w:rFonts w:ascii="Times New Roman" w:hAnsi="Times New Roman" w:cs="Times New Roman"/>
          <w:color w:val="000000" w:themeColor="text1"/>
          <w:sz w:val="24"/>
        </w:rPr>
        <w:t>, o jos ir visų kitų papildomai sudarytų pirkimo sutarčių kaina neturi viršyti 30 procentų pradinės pirkimo sutarties kainos;</w:t>
      </w:r>
    </w:p>
    <w:p w:rsidR="002C566E" w:rsidRPr="006372C1" w:rsidRDefault="001F0E0A"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61</w:t>
      </w:r>
      <w:r w:rsidR="002C566E" w:rsidRPr="006372C1">
        <w:rPr>
          <w:rFonts w:ascii="Times New Roman" w:hAnsi="Times New Roman" w:cs="Times New Roman"/>
          <w:color w:val="000000" w:themeColor="text1"/>
          <w:sz w:val="24"/>
        </w:rPr>
        <w:t>.10. perkamos ekspertų komisijų, komitetų, tarybų, kurių sudarymo tvarką nustato Lietuvos Respublikos įstatymai, narių teikiamos nematerialaus pobūdžio (intelektinės) paslaugos;</w:t>
      </w:r>
    </w:p>
    <w:p w:rsidR="002C566E" w:rsidRPr="006372C1" w:rsidRDefault="001F0E0A" w:rsidP="00EF5218">
      <w:pPr>
        <w:widowControl/>
        <w:tabs>
          <w:tab w:val="left" w:pos="81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61</w:t>
      </w:r>
      <w:r w:rsidR="002C566E" w:rsidRPr="006372C1">
        <w:rPr>
          <w:rFonts w:ascii="Times New Roman" w:hAnsi="Times New Roman" w:cs="Times New Roman"/>
          <w:color w:val="000000" w:themeColor="text1"/>
          <w:sz w:val="24"/>
        </w:rPr>
        <w:t>.11. vykdomi mažos vertės pirkimai.</w:t>
      </w:r>
    </w:p>
    <w:p w:rsidR="002C566E" w:rsidRPr="006372C1" w:rsidRDefault="001F0E0A" w:rsidP="00EF5218">
      <w:pPr>
        <w:widowControl/>
        <w:tabs>
          <w:tab w:val="left" w:pos="55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62</w:t>
      </w:r>
      <w:r w:rsidR="002C566E" w:rsidRPr="006372C1">
        <w:rPr>
          <w:rFonts w:ascii="Times New Roman" w:hAnsi="Times New Roman" w:cs="Times New Roman"/>
          <w:color w:val="000000" w:themeColor="text1"/>
          <w:sz w:val="24"/>
        </w:rPr>
        <w:t>. Jei perkančioji organizacija tikrina tiekėjų kvalifikaciją, visais atvejais privalo patikrinti, ar nėra Viešųjų pirkimų įstatymo 33 straipsnio 1 dalyje nustatytų sąlygų. Visi kiti kvalifikacijos reikalavimai gali būti laisvai pasirenkami.</w:t>
      </w:r>
    </w:p>
    <w:p w:rsidR="002C566E" w:rsidRPr="006372C1" w:rsidRDefault="001F0E0A" w:rsidP="00EF5218">
      <w:pPr>
        <w:widowControl/>
        <w:tabs>
          <w:tab w:val="left" w:pos="55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63</w:t>
      </w:r>
      <w:r w:rsidR="002C566E" w:rsidRPr="006372C1">
        <w:rPr>
          <w:rFonts w:ascii="Times New Roman" w:hAnsi="Times New Roman" w:cs="Times New Roman"/>
          <w:color w:val="000000" w:themeColor="text1"/>
          <w:sz w:val="24"/>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16CA9" w:rsidRPr="006372C1" w:rsidRDefault="00C16CA9" w:rsidP="00EF5218">
      <w:pPr>
        <w:widowControl/>
        <w:tabs>
          <w:tab w:val="left" w:pos="552"/>
        </w:tabs>
        <w:jc w:val="both"/>
        <w:rPr>
          <w:rFonts w:ascii="Times New Roman" w:hAnsi="Times New Roman" w:cs="Times New Roman"/>
          <w:color w:val="000000" w:themeColor="text1"/>
          <w:sz w:val="24"/>
        </w:rPr>
      </w:pPr>
    </w:p>
    <w:p w:rsidR="002C566E" w:rsidRPr="006372C1" w:rsidRDefault="002C566E" w:rsidP="00EF5218">
      <w:pPr>
        <w:widowControl/>
        <w:jc w:val="both"/>
        <w:rPr>
          <w:rFonts w:ascii="Times New Roman" w:hAnsi="Times New Roman" w:cs="Times New Roman"/>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VIII.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PASIŪLYMŲ NAGRINĖJIMAS IR VERTINIMAS</w:t>
      </w:r>
    </w:p>
    <w:p w:rsidR="002C566E" w:rsidRPr="006372C1" w:rsidRDefault="002C566E" w:rsidP="00EF5218">
      <w:pPr>
        <w:widowControl/>
        <w:tabs>
          <w:tab w:val="left" w:pos="552"/>
        </w:tabs>
        <w:jc w:val="both"/>
        <w:rPr>
          <w:rFonts w:ascii="Times New Roman" w:hAnsi="Times New Roman" w:cs="Times New Roman"/>
          <w:color w:val="000000" w:themeColor="text1"/>
          <w:sz w:val="24"/>
        </w:rPr>
      </w:pPr>
    </w:p>
    <w:p w:rsidR="002C566E" w:rsidRPr="006372C1" w:rsidRDefault="001F0E0A" w:rsidP="00EF5218">
      <w:pPr>
        <w:widowControl/>
        <w:tabs>
          <w:tab w:val="left" w:pos="55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64</w:t>
      </w:r>
      <w:r w:rsidR="002C566E" w:rsidRPr="006372C1">
        <w:rPr>
          <w:rFonts w:ascii="Times New Roman" w:hAnsi="Times New Roman" w:cs="Times New Roman"/>
          <w:color w:val="000000" w:themeColor="text1"/>
          <w:sz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C566E" w:rsidRPr="006372C1" w:rsidRDefault="001F0E0A" w:rsidP="00EF5218">
      <w:pPr>
        <w:widowControl/>
        <w:tabs>
          <w:tab w:val="left" w:pos="55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65</w:t>
      </w:r>
      <w:r w:rsidR="002C566E" w:rsidRPr="006372C1">
        <w:rPr>
          <w:rFonts w:ascii="Times New Roman" w:hAnsi="Times New Roman" w:cs="Times New Roman"/>
          <w:color w:val="000000" w:themeColor="text1"/>
          <w:sz w:val="24"/>
        </w:rPr>
        <w:t>. Vokus su pasiūlymais atplėšia, pasiūlymus nagrinėja ir vertina supaprastintą pirkimą atliekanti Komisija arba pirkimų organizatorius.</w:t>
      </w:r>
    </w:p>
    <w:p w:rsidR="002C566E" w:rsidRPr="006372C1" w:rsidRDefault="001F0E0A" w:rsidP="00DE0539">
      <w:pPr>
        <w:pStyle w:val="Hipersaitas1"/>
        <w:spacing w:before="0" w:beforeAutospacing="0" w:after="0" w:afterAutospacing="0"/>
        <w:ind w:firstLine="720"/>
        <w:jc w:val="both"/>
        <w:rPr>
          <w:color w:val="000000" w:themeColor="text1"/>
        </w:rPr>
      </w:pPr>
      <w:r w:rsidRPr="006372C1">
        <w:rPr>
          <w:color w:val="000000" w:themeColor="text1"/>
        </w:rPr>
        <w:t>66</w:t>
      </w:r>
      <w:r w:rsidR="002C566E" w:rsidRPr="006372C1">
        <w:rPr>
          <w:color w:val="000000" w:themeColor="text1"/>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r w:rsidR="00A85244" w:rsidRPr="006372C1">
        <w:rPr>
          <w:color w:val="000000" w:themeColor="text1"/>
        </w:rPr>
        <w:t>.</w:t>
      </w:r>
    </w:p>
    <w:p w:rsidR="002C566E" w:rsidRPr="006372C1" w:rsidRDefault="001F0E0A" w:rsidP="00EF5218">
      <w:pPr>
        <w:widowControl/>
        <w:tabs>
          <w:tab w:val="left" w:pos="55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67</w:t>
      </w:r>
      <w:r w:rsidR="002C566E" w:rsidRPr="006372C1">
        <w:rPr>
          <w:rFonts w:ascii="Times New Roman" w:hAnsi="Times New Roman" w:cs="Times New Roman"/>
          <w:color w:val="000000" w:themeColor="text1"/>
          <w:sz w:val="24"/>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w:t>
      </w:r>
      <w:r w:rsidR="002C566E" w:rsidRPr="006372C1">
        <w:rPr>
          <w:rFonts w:ascii="Times New Roman" w:hAnsi="Times New Roman" w:cs="Times New Roman"/>
          <w:color w:val="000000" w:themeColor="text1"/>
          <w:sz w:val="24"/>
        </w:rPr>
        <w:lastRenderedPageBreak/>
        <w:t>saugomas kartu su kitais tiekėjo pateiktais dokumentais Viešųjų pirkimų įstatymo 21 straipsnyje nustatyta tvarka.</w:t>
      </w:r>
    </w:p>
    <w:p w:rsidR="002C566E" w:rsidRPr="006372C1" w:rsidRDefault="001F0E0A" w:rsidP="00EF5218">
      <w:pPr>
        <w:widowControl/>
        <w:tabs>
          <w:tab w:val="left" w:pos="58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68</w:t>
      </w:r>
      <w:r w:rsidR="002C566E" w:rsidRPr="006372C1">
        <w:rPr>
          <w:rFonts w:ascii="Times New Roman" w:hAnsi="Times New Roman" w:cs="Times New Roman"/>
          <w:color w:val="000000" w:themeColor="text1"/>
          <w:sz w:val="24"/>
        </w:rPr>
        <w:t>. Atplėšus voką, pasiūlymo paskutinio lapo antrojoje pusėje pasirašo posėdyje dalyvaujantys Komisijos nariai ar pirkimų organizatorius. Ši nuostata netaikoma, kai pasiūlymas perduodamas elektroninėmis priemonėmis. Komisija vokų atplėšimo procedūros rezultatus įformina protokolu.</w:t>
      </w:r>
    </w:p>
    <w:p w:rsidR="002C566E" w:rsidRPr="006372C1" w:rsidRDefault="002C566E" w:rsidP="00EF5218">
      <w:pPr>
        <w:widowControl/>
        <w:tabs>
          <w:tab w:val="left" w:pos="58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1F0E0A"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Vokų su pasiūlymais atplėšimo procedūroje dalyvaujantiems tiekėjams ar jų atstovams pranešama ši informacija:</w:t>
      </w:r>
    </w:p>
    <w:p w:rsidR="002C566E" w:rsidRPr="006372C1" w:rsidRDefault="002C566E"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.1. pasiūlymą pateikusio tiekėjo pavadinimas;</w:t>
      </w:r>
    </w:p>
    <w:p w:rsidR="002C566E" w:rsidRPr="006372C1" w:rsidRDefault="002C566E"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.2. kai pasiūlymai vertinami pagal mažiausios kainos kriterijų – pasiūlyme nurodyta kaina;</w:t>
      </w:r>
    </w:p>
    <w:p w:rsidR="00844A05" w:rsidRPr="006372C1" w:rsidRDefault="00054662"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w:t>
      </w:r>
      <w:r w:rsidR="006C2CDF" w:rsidRPr="006372C1">
        <w:rPr>
          <w:rFonts w:ascii="Times New Roman" w:hAnsi="Times New Roman" w:cs="Times New Roman"/>
          <w:color w:val="000000" w:themeColor="text1"/>
          <w:sz w:val="24"/>
        </w:rPr>
        <w:t>3</w:t>
      </w:r>
      <w:r w:rsidR="00844A05" w:rsidRPr="006372C1">
        <w:rPr>
          <w:rFonts w:ascii="Times New Roman" w:hAnsi="Times New Roman" w:cs="Times New Roman"/>
          <w:color w:val="000000" w:themeColor="text1"/>
          <w:sz w:val="24"/>
        </w:rPr>
        <w:t xml:space="preserve"> Pasiūlyme nurodyta prekių, paslaugų ar darbų kaina nelaikoma konfidencialia informacija, išskyrus jos sudedamąsias dalis. </w:t>
      </w:r>
    </w:p>
    <w:p w:rsidR="002C566E" w:rsidRPr="006372C1" w:rsidRDefault="002C566E"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w:t>
      </w:r>
      <w:r w:rsidR="006C2CDF" w:rsidRPr="006372C1">
        <w:rPr>
          <w:rFonts w:ascii="Times New Roman" w:hAnsi="Times New Roman" w:cs="Times New Roman"/>
          <w:color w:val="000000" w:themeColor="text1"/>
          <w:sz w:val="24"/>
        </w:rPr>
        <w:t>4</w:t>
      </w:r>
      <w:r w:rsidRPr="006372C1">
        <w:rPr>
          <w:rFonts w:ascii="Times New Roman" w:hAnsi="Times New Roman" w:cs="Times New Roman"/>
          <w:color w:val="000000" w:themeColor="text1"/>
          <w:sz w:val="24"/>
        </w:rPr>
        <w:t>.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C566E" w:rsidRPr="006372C1" w:rsidRDefault="002C566E"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w:t>
      </w:r>
      <w:r w:rsidR="006C2CDF" w:rsidRPr="006372C1">
        <w:rPr>
          <w:rFonts w:ascii="Times New Roman" w:hAnsi="Times New Roman" w:cs="Times New Roman"/>
          <w:color w:val="000000" w:themeColor="text1"/>
          <w:sz w:val="24"/>
        </w:rPr>
        <w:t>5</w:t>
      </w:r>
      <w:r w:rsidRPr="006372C1">
        <w:rPr>
          <w:rFonts w:ascii="Times New Roman" w:hAnsi="Times New Roman" w:cs="Times New Roman"/>
          <w:color w:val="000000" w:themeColor="text1"/>
          <w:sz w:val="24"/>
        </w:rPr>
        <w:t>.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44A05" w:rsidRPr="006372C1" w:rsidRDefault="00291778" w:rsidP="00844A05">
      <w:pPr>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9.6.</w:t>
      </w:r>
      <w:r w:rsidR="00844A05" w:rsidRPr="006372C1">
        <w:rPr>
          <w:color w:val="000000" w:themeColor="text1"/>
          <w:sz w:val="22"/>
          <w:szCs w:val="22"/>
        </w:rPr>
        <w:t xml:space="preserve"> </w:t>
      </w:r>
      <w:r w:rsidR="00844A05" w:rsidRPr="006372C1">
        <w:rPr>
          <w:rFonts w:ascii="Times New Roman" w:hAnsi="Times New Roman" w:cs="Times New Roman"/>
          <w:color w:val="000000" w:themeColor="text1"/>
          <w:sz w:val="24"/>
        </w:rPr>
        <w:t xml:space="preserve">Perkant prekes, paslaugas ar darbus, pateikti pasiūlymai gali būti vertinami vadovaujantis ekonomiškai naudingiausio pasiūlymo arba mažiausios kainos kriterijumi.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844A05" w:rsidRPr="006372C1" w:rsidRDefault="00844A05" w:rsidP="00844A05">
      <w:pPr>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w:t>
      </w:r>
      <w:r w:rsidR="006C2CDF" w:rsidRPr="006372C1">
        <w:rPr>
          <w:rFonts w:ascii="Times New Roman" w:hAnsi="Times New Roman" w:cs="Times New Roman"/>
          <w:color w:val="000000" w:themeColor="text1"/>
          <w:sz w:val="24"/>
        </w:rPr>
        <w:t>7.</w:t>
      </w:r>
      <w:r w:rsidRPr="006372C1">
        <w:rPr>
          <w:rFonts w:ascii="Times New Roman" w:hAnsi="Times New Roman" w:cs="Times New Roman"/>
          <w:color w:val="000000" w:themeColor="text1"/>
          <w:sz w:val="24"/>
        </w:rPr>
        <w:t xml:space="preserve"> Ekonomiškai naudingiausias pasiūlymas išrenkamas pagal perkančiosios organizacijos nustatytus, su pirkimo objektu susijusius kriterijus. Tokie kriterijai, be kainos, paprastai yra</w:t>
      </w:r>
      <w:r w:rsidRPr="006372C1">
        <w:rPr>
          <w:rFonts w:ascii="Times New Roman" w:hAnsi="Times New Roman" w:cs="Times New Roman"/>
          <w:i/>
          <w:iCs/>
          <w:color w:val="000000" w:themeColor="text1"/>
          <w:sz w:val="24"/>
        </w:rPr>
        <w:t xml:space="preserve"> </w:t>
      </w:r>
      <w:r w:rsidRPr="006372C1">
        <w:rPr>
          <w:rFonts w:ascii="Times New Roman" w:hAnsi="Times New Roman" w:cs="Times New Roman"/>
          <w:color w:val="000000" w:themeColor="text1"/>
          <w:sz w:val="24"/>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291778" w:rsidRPr="006372C1" w:rsidRDefault="00844A05" w:rsidP="00844A05">
      <w:pPr>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9.8</w:t>
      </w:r>
      <w:r w:rsidRPr="006372C1">
        <w:rPr>
          <w:rFonts w:ascii="Times New Roman" w:hAnsi="Times New Roman" w:cs="Times New Roman"/>
          <w:color w:val="000000" w:themeColor="text1"/>
          <w:sz w:val="24"/>
        </w:rPr>
        <w:t>. Pasiūlymo vertinimo kriterijai negali nepagrįstai ir neobjektyviai riboti tiekėjų galimybių dalyvauti pirkime ar sudaryti išskirtinių sąlygų konkretiems tiekėjams, pažeidžiant Viešųjų pirkimų įstatymo 3 straipsnio 1 dalyje nustatytus reikalavimus.</w:t>
      </w:r>
      <w:r w:rsidR="002145F3" w:rsidRPr="006372C1">
        <w:rPr>
          <w:rFonts w:ascii="Times New Roman" w:hAnsi="Times New Roman" w:cs="Times New Roman"/>
          <w:color w:val="000000" w:themeColor="text1"/>
          <w:sz w:val="24"/>
        </w:rPr>
        <w:t xml:space="preserve"> </w:t>
      </w:r>
    </w:p>
    <w:p w:rsidR="002C566E" w:rsidRPr="006372C1" w:rsidRDefault="002C566E"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9.9.</w:t>
      </w:r>
      <w:r w:rsidRPr="006372C1">
        <w:rPr>
          <w:rFonts w:ascii="Times New Roman" w:hAnsi="Times New Roman" w:cs="Times New Roman"/>
          <w:color w:val="000000" w:themeColor="text1"/>
          <w:sz w:val="24"/>
        </w:rPr>
        <w:t xml:space="preserve"> ar pasiūlymas pasirašytas tiekėjo ar jo įgalioto asmens, o elektroninėmis priemonėmis teikiamas pasiūlymas – pateiktas su saugiu elektroniniu parašu;</w:t>
      </w:r>
    </w:p>
    <w:p w:rsidR="002C566E" w:rsidRPr="006372C1" w:rsidRDefault="002C566E"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w:t>
      </w:r>
      <w:r w:rsidR="006C2CDF" w:rsidRPr="006372C1">
        <w:rPr>
          <w:rFonts w:ascii="Times New Roman" w:hAnsi="Times New Roman" w:cs="Times New Roman"/>
          <w:color w:val="000000" w:themeColor="text1"/>
          <w:sz w:val="24"/>
        </w:rPr>
        <w:t>10</w:t>
      </w:r>
      <w:r w:rsidRPr="006372C1">
        <w:rPr>
          <w:rFonts w:ascii="Times New Roman" w:hAnsi="Times New Roman" w:cs="Times New Roman"/>
          <w:color w:val="000000" w:themeColor="text1"/>
          <w:sz w:val="24"/>
        </w:rPr>
        <w:t>. kai tiekėjai reikalauja:</w:t>
      </w:r>
    </w:p>
    <w:p w:rsidR="002C566E" w:rsidRPr="006372C1" w:rsidRDefault="002C566E" w:rsidP="00EF5218">
      <w:pPr>
        <w:widowControl/>
        <w:tabs>
          <w:tab w:val="left" w:pos="869"/>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9.10</w:t>
      </w:r>
      <w:r w:rsidRPr="006372C1">
        <w:rPr>
          <w:rFonts w:ascii="Times New Roman" w:hAnsi="Times New Roman" w:cs="Times New Roman"/>
          <w:color w:val="000000" w:themeColor="text1"/>
          <w:sz w:val="24"/>
        </w:rPr>
        <w:t>.1. ar yra pateiktas pasiūlymo galiojimo užtikrinimas</w:t>
      </w:r>
      <w:r w:rsidR="008B6209" w:rsidRPr="006372C1">
        <w:rPr>
          <w:rFonts w:ascii="Times New Roman" w:hAnsi="Times New Roman" w:cs="Times New Roman"/>
          <w:color w:val="000000" w:themeColor="text1"/>
          <w:sz w:val="24"/>
        </w:rPr>
        <w:t>, jei jo buvo reikalauta pirkimo dokumentuose</w:t>
      </w:r>
      <w:r w:rsidRPr="006372C1">
        <w:rPr>
          <w:rFonts w:ascii="Times New Roman" w:hAnsi="Times New Roman" w:cs="Times New Roman"/>
          <w:color w:val="000000" w:themeColor="text1"/>
          <w:sz w:val="24"/>
        </w:rPr>
        <w:t>;</w:t>
      </w:r>
    </w:p>
    <w:p w:rsidR="002C566E" w:rsidRPr="006372C1" w:rsidRDefault="006C2CDF" w:rsidP="00EF5218">
      <w:pPr>
        <w:widowControl/>
        <w:tabs>
          <w:tab w:val="left" w:pos="869"/>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69</w:t>
      </w:r>
      <w:r w:rsidR="002C566E" w:rsidRPr="006372C1">
        <w:rPr>
          <w:rFonts w:ascii="Times New Roman" w:hAnsi="Times New Roman" w:cs="Times New Roman"/>
          <w:color w:val="000000" w:themeColor="text1"/>
          <w:sz w:val="24"/>
        </w:rPr>
        <w:t>.</w:t>
      </w:r>
      <w:r w:rsidRPr="006372C1">
        <w:rPr>
          <w:rFonts w:ascii="Times New Roman" w:hAnsi="Times New Roman" w:cs="Times New Roman"/>
          <w:color w:val="000000" w:themeColor="text1"/>
          <w:sz w:val="24"/>
        </w:rPr>
        <w:t>10</w:t>
      </w:r>
      <w:r w:rsidR="002C566E" w:rsidRPr="006372C1">
        <w:rPr>
          <w:rFonts w:ascii="Times New Roman" w:hAnsi="Times New Roman" w:cs="Times New Roman"/>
          <w:color w:val="000000" w:themeColor="text1"/>
          <w:sz w:val="24"/>
        </w:rPr>
        <w:t>.2. ar pateiktas pasiūlymas yra susiūtas, sunumeruotas;</w:t>
      </w:r>
    </w:p>
    <w:p w:rsidR="002C566E" w:rsidRPr="006372C1" w:rsidRDefault="002C566E" w:rsidP="00EF5218">
      <w:pPr>
        <w:widowControl/>
        <w:tabs>
          <w:tab w:val="left" w:pos="85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w:t>
      </w:r>
      <w:r w:rsidR="006C2CDF" w:rsidRPr="006372C1">
        <w:rPr>
          <w:rFonts w:ascii="Times New Roman" w:hAnsi="Times New Roman" w:cs="Times New Roman"/>
          <w:color w:val="000000" w:themeColor="text1"/>
          <w:sz w:val="24"/>
        </w:rPr>
        <w:t>10</w:t>
      </w:r>
      <w:r w:rsidRPr="006372C1">
        <w:rPr>
          <w:rFonts w:ascii="Times New Roman" w:hAnsi="Times New Roman" w:cs="Times New Roman"/>
          <w:color w:val="000000" w:themeColor="text1"/>
          <w:sz w:val="24"/>
        </w:rPr>
        <w:t>.3. ar pasiūlymas paskutinio lapo antroje pusėje patvirtintas tiekėjo ar jo įgalioto asmens parašu, ar nurodytas pasirašančio asmens vardas, pavardė, pareigos bei pasiūlymą sudarančių lapų skaičius;</w:t>
      </w:r>
    </w:p>
    <w:p w:rsidR="002C566E" w:rsidRPr="006372C1" w:rsidRDefault="002C566E"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6</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w:t>
      </w:r>
      <w:r w:rsidR="006C2CDF" w:rsidRPr="006372C1">
        <w:rPr>
          <w:rFonts w:ascii="Times New Roman" w:hAnsi="Times New Roman" w:cs="Times New Roman"/>
          <w:color w:val="000000" w:themeColor="text1"/>
          <w:sz w:val="24"/>
        </w:rPr>
        <w:t>10</w:t>
      </w:r>
      <w:r w:rsidRPr="006372C1">
        <w:rPr>
          <w:rFonts w:ascii="Times New Roman" w:hAnsi="Times New Roman" w:cs="Times New Roman"/>
          <w:color w:val="000000" w:themeColor="text1"/>
          <w:sz w:val="24"/>
        </w:rPr>
        <w:t>.</w:t>
      </w:r>
      <w:r w:rsidR="006C2CDF" w:rsidRPr="006372C1">
        <w:rPr>
          <w:rFonts w:ascii="Times New Roman" w:hAnsi="Times New Roman" w:cs="Times New Roman"/>
          <w:color w:val="000000" w:themeColor="text1"/>
          <w:sz w:val="24"/>
        </w:rPr>
        <w:t>4.</w:t>
      </w:r>
      <w:r w:rsidRPr="006372C1">
        <w:rPr>
          <w:rFonts w:ascii="Times New Roman" w:hAnsi="Times New Roman" w:cs="Times New Roman"/>
          <w:color w:val="000000" w:themeColor="text1"/>
          <w:sz w:val="24"/>
        </w:rPr>
        <w:t xml:space="preserve"> kai pasiūlymai pateikiami elektroninėmis priemonėmis – ar pasiūlymas pateiktas perkančiosios organizacijos nurodytomis elektroninėmis priemonėmis.</w:t>
      </w:r>
    </w:p>
    <w:p w:rsidR="002C566E" w:rsidRPr="006372C1" w:rsidRDefault="006C2CDF" w:rsidP="00EF5218">
      <w:pPr>
        <w:widowControl/>
        <w:tabs>
          <w:tab w:val="left" w:pos="57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70</w:t>
      </w:r>
      <w:r w:rsidR="002C566E" w:rsidRPr="006372C1">
        <w:rPr>
          <w:rFonts w:ascii="Times New Roman" w:hAnsi="Times New Roman" w:cs="Times New Roman"/>
          <w:color w:val="000000" w:themeColor="text1"/>
          <w:sz w:val="24"/>
        </w:rPr>
        <w:t>. Jei pirkimas susideda iš atskirų pirkimo dalių, Taisyklių 6</w:t>
      </w:r>
      <w:r w:rsidR="00C16CA9" w:rsidRPr="006372C1">
        <w:rPr>
          <w:rFonts w:ascii="Times New Roman" w:hAnsi="Times New Roman" w:cs="Times New Roman"/>
          <w:color w:val="000000" w:themeColor="text1"/>
          <w:sz w:val="24"/>
        </w:rPr>
        <w:t>9</w:t>
      </w:r>
      <w:r w:rsidR="002C566E" w:rsidRPr="006372C1">
        <w:rPr>
          <w:rFonts w:ascii="Times New Roman" w:hAnsi="Times New Roman" w:cs="Times New Roman"/>
          <w:color w:val="000000" w:themeColor="text1"/>
          <w:sz w:val="24"/>
        </w:rPr>
        <w:t>.1–6</w:t>
      </w:r>
      <w:r w:rsidR="00C16CA9" w:rsidRPr="006372C1">
        <w:rPr>
          <w:rFonts w:ascii="Times New Roman" w:hAnsi="Times New Roman" w:cs="Times New Roman"/>
          <w:color w:val="000000" w:themeColor="text1"/>
          <w:sz w:val="24"/>
        </w:rPr>
        <w:t>9.5</w:t>
      </w:r>
      <w:r w:rsidR="002C566E" w:rsidRPr="006372C1">
        <w:rPr>
          <w:rFonts w:ascii="Times New Roman" w:hAnsi="Times New Roman" w:cs="Times New Roman"/>
          <w:color w:val="000000" w:themeColor="text1"/>
          <w:sz w:val="24"/>
        </w:rPr>
        <w:t xml:space="preserve"> punktuose nurodyta informacija, o jei reikia, ir kita Taisyklių 6</w:t>
      </w:r>
      <w:r w:rsidR="005167E5" w:rsidRPr="006372C1">
        <w:rPr>
          <w:rFonts w:ascii="Times New Roman" w:hAnsi="Times New Roman" w:cs="Times New Roman"/>
          <w:color w:val="000000" w:themeColor="text1"/>
          <w:sz w:val="24"/>
        </w:rPr>
        <w:t>9</w:t>
      </w:r>
      <w:r w:rsidR="002C566E" w:rsidRPr="006372C1">
        <w:rPr>
          <w:rFonts w:ascii="Times New Roman" w:hAnsi="Times New Roman" w:cs="Times New Roman"/>
          <w:color w:val="000000" w:themeColor="text1"/>
          <w:sz w:val="24"/>
        </w:rPr>
        <w:t xml:space="preserve"> punkte nurodyta informacija skelbiama dėl kiekvienos pirkimo dalies. Tokia informacija turi būti nurodoma ir vokų atplėšimo posėdžio protokole.</w:t>
      </w:r>
    </w:p>
    <w:p w:rsidR="002C566E" w:rsidRPr="006372C1" w:rsidRDefault="006C2CDF" w:rsidP="00EF5218">
      <w:pPr>
        <w:widowControl/>
        <w:tabs>
          <w:tab w:val="left" w:pos="57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lastRenderedPageBreak/>
        <w:t>71</w:t>
      </w:r>
      <w:r w:rsidR="002C566E" w:rsidRPr="006372C1">
        <w:rPr>
          <w:rFonts w:ascii="Times New Roman" w:hAnsi="Times New Roman" w:cs="Times New Roman"/>
          <w:color w:val="000000" w:themeColor="text1"/>
          <w:sz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C566E" w:rsidRPr="006372C1" w:rsidRDefault="006C2CDF" w:rsidP="00EF5218">
      <w:pPr>
        <w:widowControl/>
        <w:tabs>
          <w:tab w:val="left" w:pos="57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72</w:t>
      </w:r>
      <w:r w:rsidR="002C566E" w:rsidRPr="006372C1">
        <w:rPr>
          <w:rFonts w:ascii="Times New Roman" w:hAnsi="Times New Roman" w:cs="Times New Roman"/>
          <w:color w:val="000000" w:themeColor="text1"/>
          <w:sz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C566E" w:rsidRPr="006372C1" w:rsidRDefault="006C2CDF" w:rsidP="00EF5218">
      <w:pPr>
        <w:widowControl/>
        <w:tabs>
          <w:tab w:val="left" w:pos="58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73</w:t>
      </w:r>
      <w:r w:rsidR="002C566E" w:rsidRPr="006372C1">
        <w:rPr>
          <w:rFonts w:ascii="Times New Roman" w:hAnsi="Times New Roman" w:cs="Times New Roman"/>
          <w:color w:val="000000" w:themeColor="text1"/>
          <w:sz w:val="24"/>
        </w:rPr>
        <w:t>. Pasiūlymai nagrinėjami ir vertinami konfidencialiai, nedalyvaujant pasiūlymus pateikusiems tiekėjams ar jų atstovams.</w:t>
      </w:r>
    </w:p>
    <w:p w:rsidR="002C566E" w:rsidRPr="006372C1" w:rsidRDefault="006C2CDF" w:rsidP="00EF5218">
      <w:pPr>
        <w:widowControl/>
        <w:tabs>
          <w:tab w:val="left" w:pos="581"/>
        </w:tabs>
        <w:jc w:val="both"/>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74</w:t>
      </w:r>
      <w:r w:rsidR="002C566E" w:rsidRPr="006372C1">
        <w:rPr>
          <w:rFonts w:ascii="Times New Roman" w:hAnsi="Times New Roman" w:cs="Times New Roman"/>
          <w:b/>
          <w:color w:val="000000" w:themeColor="text1"/>
          <w:sz w:val="24"/>
        </w:rPr>
        <w:t>. Perkančioji organizacija, nagrinėdama pasiūlymus:</w:t>
      </w:r>
    </w:p>
    <w:p w:rsidR="002C566E" w:rsidRPr="006372C1" w:rsidRDefault="006C2CDF" w:rsidP="00EF5218">
      <w:pPr>
        <w:widowControl/>
        <w:tabs>
          <w:tab w:val="left" w:pos="696"/>
        </w:tabs>
        <w:jc w:val="both"/>
        <w:rPr>
          <w:rFonts w:ascii="Times New Roman" w:hAnsi="Times New Roman" w:cs="Times New Roman"/>
          <w:strike/>
          <w:color w:val="000000" w:themeColor="text1"/>
          <w:sz w:val="24"/>
        </w:rPr>
      </w:pPr>
      <w:r w:rsidRPr="006372C1">
        <w:rPr>
          <w:rFonts w:ascii="Times New Roman" w:hAnsi="Times New Roman" w:cs="Times New Roman"/>
          <w:color w:val="000000" w:themeColor="text1"/>
          <w:sz w:val="24"/>
        </w:rPr>
        <w:t>74</w:t>
      </w:r>
      <w:r w:rsidR="002C566E" w:rsidRPr="006372C1">
        <w:rPr>
          <w:rFonts w:ascii="Times New Roman" w:hAnsi="Times New Roman" w:cs="Times New Roman"/>
          <w:color w:val="000000" w:themeColor="text1"/>
          <w:sz w:val="24"/>
        </w:rPr>
        <w:t xml:space="preserve">.1.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2C566E" w:rsidRPr="006372C1" w:rsidRDefault="006C2CDF" w:rsidP="00EF5218">
      <w:pPr>
        <w:widowControl/>
        <w:tabs>
          <w:tab w:val="left" w:pos="70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74</w:t>
      </w:r>
      <w:r w:rsidR="002C566E" w:rsidRPr="006372C1">
        <w:rPr>
          <w:rFonts w:ascii="Times New Roman" w:hAnsi="Times New Roman" w:cs="Times New Roman"/>
          <w:color w:val="000000" w:themeColor="text1"/>
          <w:sz w:val="24"/>
        </w:rPr>
        <w:t>.2. tikrina, ar pasiūlymas atitinka pirkimo dokumentuose nustatytus reikalavimus;</w:t>
      </w:r>
    </w:p>
    <w:p w:rsidR="002C566E" w:rsidRPr="006372C1" w:rsidRDefault="006C2CDF"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74</w:t>
      </w:r>
      <w:r w:rsidR="002C566E" w:rsidRPr="006372C1">
        <w:rPr>
          <w:rFonts w:ascii="Times New Roman" w:hAnsi="Times New Roman" w:cs="Times New Roman"/>
          <w:color w:val="000000" w:themeColor="text1"/>
          <w:sz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372C1" w:rsidRPr="006372C1" w:rsidRDefault="006C2CDF"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74</w:t>
      </w:r>
      <w:r w:rsidR="002C566E" w:rsidRPr="006372C1">
        <w:rPr>
          <w:rFonts w:ascii="Times New Roman" w:hAnsi="Times New Roman" w:cs="Times New Roman"/>
          <w:color w:val="000000" w:themeColor="text1"/>
          <w:sz w:val="24"/>
        </w:rPr>
        <w:t xml:space="preserve">.4. tuo atveju, kai pasiūlyme nurodyta kaina, išreikšta skaičiais, neatitinka kainos, nurodytos žodžiais, teisinga laikoma kaina, nurodyta žodžiais. </w:t>
      </w:r>
    </w:p>
    <w:p w:rsidR="00182703" w:rsidRPr="006372C1" w:rsidRDefault="00182703" w:rsidP="00EF5218">
      <w:pPr>
        <w:widowControl/>
        <w:tabs>
          <w:tab w:val="left" w:pos="696"/>
        </w:tabs>
        <w:jc w:val="both"/>
        <w:rPr>
          <w:rFonts w:ascii="Times New Roman" w:hAnsi="Times New Roman" w:cs="Times New Roman"/>
          <w:strike/>
          <w:color w:val="000000" w:themeColor="text1"/>
          <w:sz w:val="24"/>
        </w:rPr>
      </w:pPr>
      <w:r w:rsidRPr="006372C1">
        <w:rPr>
          <w:rFonts w:ascii="Times New Roman" w:hAnsi="Times New Roman" w:cs="Times New Roman"/>
          <w:bCs/>
          <w:color w:val="000000" w:themeColor="text1"/>
          <w:sz w:val="24"/>
        </w:rPr>
        <w:t>74.5.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2C566E" w:rsidRPr="006372C1" w:rsidRDefault="00182703"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74.6.</w:t>
      </w:r>
      <w:r w:rsidR="00EC7430" w:rsidRPr="006372C1">
        <w:rPr>
          <w:rFonts w:ascii="Times New Roman" w:hAnsi="Times New Roman"/>
          <w:color w:val="000000" w:themeColor="text1"/>
          <w:sz w:val="24"/>
        </w:rPr>
        <w:t xml:space="preserve"> kai pateiktame pasiūlyme nurodoma neįprastai maža kaina</w:t>
      </w:r>
      <w:r w:rsidRPr="006372C1">
        <w:rPr>
          <w:rFonts w:ascii="Times New Roman" w:hAnsi="Times New Roman"/>
          <w:color w:val="000000" w:themeColor="text1"/>
          <w:sz w:val="24"/>
        </w:rPr>
        <w:t xml:space="preserve"> (derybų atveju – galutinė kaina),</w:t>
      </w:r>
      <w:r w:rsidR="00EC7430" w:rsidRPr="006372C1">
        <w:rPr>
          <w:rFonts w:ascii="Times New Roman" w:hAnsi="Times New Roman"/>
          <w:color w:val="000000" w:themeColor="text1"/>
          <w:sz w:val="24"/>
        </w:rPr>
        <w:t xml:space="preserve"> privalo pareikalauti, kad dalyvis pagrįstų siūlomą kainą</w:t>
      </w:r>
      <w:r w:rsidRPr="006372C1">
        <w:rPr>
          <w:rFonts w:ascii="Times New Roman" w:hAnsi="Times New Roman"/>
          <w:color w:val="000000" w:themeColor="text1"/>
          <w:sz w:val="24"/>
        </w:rPr>
        <w:t xml:space="preserve"> (derybų atveju – galutinę kainą)</w:t>
      </w:r>
      <w:r w:rsidR="00EC7430" w:rsidRPr="006372C1">
        <w:rPr>
          <w:rFonts w:ascii="Times New Roman" w:hAnsi="Times New Roman"/>
          <w:color w:val="000000" w:themeColor="text1"/>
          <w:sz w:val="24"/>
        </w:rPr>
        <w:t xml:space="preserve"> raštu. Siekiant įsitikinti, ar pateiktame pasiūlyme nurodyta kaina</w:t>
      </w:r>
      <w:r w:rsidRPr="006372C1">
        <w:rPr>
          <w:rFonts w:ascii="Times New Roman" w:hAnsi="Times New Roman"/>
          <w:color w:val="000000" w:themeColor="text1"/>
          <w:sz w:val="24"/>
        </w:rPr>
        <w:t xml:space="preserve"> (derybų atveju – galutinė kaina), </w:t>
      </w:r>
      <w:r w:rsidR="00EC7430" w:rsidRPr="006372C1">
        <w:rPr>
          <w:rFonts w:ascii="Times New Roman" w:hAnsi="Times New Roman"/>
          <w:color w:val="000000" w:themeColor="text1"/>
          <w:sz w:val="24"/>
        </w:rPr>
        <w:t xml:space="preserve">yra neįprastai maža, perkančioji organizacija vadovaujasi Viešųjų pirkimų tarnybos </w:t>
      </w:r>
      <w:r w:rsidRPr="006372C1">
        <w:rPr>
          <w:rFonts w:ascii="Times New Roman" w:hAnsi="Times New Roman"/>
          <w:color w:val="000000" w:themeColor="text1"/>
          <w:sz w:val="24"/>
        </w:rPr>
        <w:t xml:space="preserve"> prie Lietuvos Respublikos Vyriausybės </w:t>
      </w:r>
      <w:r w:rsidR="00EC7430" w:rsidRPr="006372C1">
        <w:rPr>
          <w:rFonts w:ascii="Times New Roman" w:hAnsi="Times New Roman"/>
          <w:color w:val="000000" w:themeColor="text1"/>
          <w:sz w:val="24"/>
        </w:rPr>
        <w:t>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w:t>
      </w:r>
      <w:r w:rsidRPr="006372C1">
        <w:rPr>
          <w:rFonts w:ascii="Times New Roman" w:hAnsi="Times New Roman"/>
          <w:color w:val="000000" w:themeColor="text1"/>
          <w:sz w:val="24"/>
        </w:rPr>
        <w:t xml:space="preserve"> prie Lietuvos Respublikos Vyriausybės</w:t>
      </w:r>
      <w:r w:rsidR="00EC7430" w:rsidRPr="006372C1">
        <w:rPr>
          <w:rFonts w:ascii="Times New Roman" w:hAnsi="Times New Roman"/>
          <w:color w:val="000000" w:themeColor="text1"/>
          <w:sz w:val="24"/>
        </w:rPr>
        <w:t xml:space="preserve"> direktoriaus 2009 m. lapkričio 10 d. įsakymu Nr. 1S-122 ,,Dėl </w:t>
      </w:r>
      <w:r w:rsidRPr="006372C1">
        <w:rPr>
          <w:rFonts w:ascii="Times New Roman" w:hAnsi="Times New Roman"/>
          <w:color w:val="000000" w:themeColor="text1"/>
          <w:sz w:val="24"/>
        </w:rPr>
        <w:t>Pasiūlyme nurodytos prekių, paslaugų ar darbų neįprastai mažos kainos pagrindimo rekomendacijų patvirtinimo;</w:t>
      </w:r>
    </w:p>
    <w:p w:rsidR="002C566E" w:rsidRPr="006372C1" w:rsidRDefault="006C2CDF" w:rsidP="00EF5218">
      <w:pPr>
        <w:widowControl/>
        <w:tabs>
          <w:tab w:val="left" w:pos="70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74</w:t>
      </w:r>
      <w:r w:rsidR="002C566E" w:rsidRPr="006372C1">
        <w:rPr>
          <w:rFonts w:ascii="Times New Roman" w:hAnsi="Times New Roman" w:cs="Times New Roman"/>
          <w:color w:val="000000" w:themeColor="text1"/>
          <w:sz w:val="24"/>
        </w:rPr>
        <w:t>.</w:t>
      </w:r>
      <w:r w:rsidR="006372C1" w:rsidRPr="006372C1">
        <w:rPr>
          <w:rFonts w:ascii="Times New Roman" w:hAnsi="Times New Roman" w:cs="Times New Roman"/>
          <w:color w:val="000000" w:themeColor="text1"/>
          <w:sz w:val="24"/>
        </w:rPr>
        <w:t>7</w:t>
      </w:r>
      <w:r w:rsidR="002C566E" w:rsidRPr="006372C1">
        <w:rPr>
          <w:rFonts w:ascii="Times New Roman" w:hAnsi="Times New Roman" w:cs="Times New Roman"/>
          <w:color w:val="000000" w:themeColor="text1"/>
          <w:sz w:val="24"/>
        </w:rPr>
        <w:t xml:space="preserve">. tikrina, ar pasiūlytos ne per didelės </w:t>
      </w:r>
      <w:r w:rsidR="004C4ADA" w:rsidRPr="006372C1">
        <w:rPr>
          <w:rFonts w:ascii="Times New Roman" w:hAnsi="Times New Roman" w:cs="Times New Roman"/>
          <w:color w:val="000000" w:themeColor="text1"/>
          <w:sz w:val="24"/>
        </w:rPr>
        <w:t xml:space="preserve"> </w:t>
      </w:r>
      <w:r w:rsidR="002C566E" w:rsidRPr="006372C1">
        <w:rPr>
          <w:rFonts w:ascii="Times New Roman" w:hAnsi="Times New Roman" w:cs="Times New Roman"/>
          <w:color w:val="000000" w:themeColor="text1"/>
          <w:sz w:val="24"/>
        </w:rPr>
        <w:t>kainos.</w:t>
      </w:r>
      <w:r w:rsidR="004C4ADA" w:rsidRPr="006372C1">
        <w:rPr>
          <w:rFonts w:ascii="Times New Roman" w:hAnsi="Times New Roman" w:cs="Times New Roman"/>
          <w:color w:val="000000" w:themeColor="text1"/>
          <w:sz w:val="24"/>
        </w:rPr>
        <w:t xml:space="preserve"> </w:t>
      </w:r>
    </w:p>
    <w:p w:rsidR="002C566E" w:rsidRPr="006372C1" w:rsidRDefault="006C2CDF" w:rsidP="00EF5218">
      <w:pPr>
        <w:widowControl/>
        <w:tabs>
          <w:tab w:val="left" w:pos="57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75</w:t>
      </w:r>
      <w:r w:rsidR="002C566E" w:rsidRPr="006372C1">
        <w:rPr>
          <w:rFonts w:ascii="Times New Roman" w:hAnsi="Times New Roman" w:cs="Times New Roman"/>
          <w:color w:val="000000" w:themeColor="text1"/>
          <w:sz w:val="24"/>
        </w:rPr>
        <w:t>.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582592" w:rsidRPr="006372C1" w:rsidRDefault="006C2CDF" w:rsidP="00EF5218">
      <w:pPr>
        <w:widowControl/>
        <w:tabs>
          <w:tab w:val="left" w:pos="58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76</w:t>
      </w:r>
      <w:r w:rsidR="002C566E" w:rsidRPr="006372C1">
        <w:rPr>
          <w:rFonts w:ascii="Times New Roman" w:hAnsi="Times New Roman" w:cs="Times New Roman"/>
          <w:color w:val="000000" w:themeColor="text1"/>
          <w:sz w:val="24"/>
        </w:rPr>
        <w:t>. Perkančioji organizacija atmeta pasiūlymą, jeigu:</w:t>
      </w:r>
    </w:p>
    <w:p w:rsidR="00442B2B" w:rsidRPr="006372C1" w:rsidRDefault="006C2CDF" w:rsidP="00A85244">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76</w:t>
      </w:r>
      <w:r w:rsidR="00442B2B" w:rsidRPr="006372C1">
        <w:rPr>
          <w:rFonts w:ascii="Times New Roman" w:hAnsi="Times New Roman" w:cs="Times New Roman"/>
          <w:color w:val="000000" w:themeColor="text1"/>
          <w:sz w:val="24"/>
        </w:rPr>
        <w:t xml:space="preserve">.1.  </w:t>
      </w:r>
      <w:r w:rsidR="008075B5" w:rsidRPr="006372C1">
        <w:rPr>
          <w:rFonts w:ascii="Times New Roman" w:hAnsi="Times New Roman" w:cs="Times New Roman"/>
          <w:color w:val="000000" w:themeColor="text1"/>
          <w:sz w:val="24"/>
        </w:rPr>
        <w:t>Tiekėjas neatitiko minimalių kvalifikacijos reikalavimų;</w:t>
      </w:r>
    </w:p>
    <w:p w:rsidR="00442B2B" w:rsidRPr="006372C1" w:rsidRDefault="006C2CDF"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76</w:t>
      </w:r>
      <w:r w:rsidR="00442B2B" w:rsidRPr="006372C1">
        <w:rPr>
          <w:rFonts w:ascii="Times New Roman" w:hAnsi="Times New Roman" w:cs="Times New Roman"/>
          <w:color w:val="000000" w:themeColor="text1"/>
          <w:sz w:val="24"/>
        </w:rPr>
        <w:t xml:space="preserve">.2 </w:t>
      </w:r>
      <w:r w:rsidR="008075B5" w:rsidRPr="006372C1">
        <w:rPr>
          <w:rFonts w:ascii="Times New Roman" w:hAnsi="Times New Roman" w:cs="Times New Roman"/>
          <w:color w:val="000000" w:themeColor="text1"/>
          <w:sz w:val="24"/>
        </w:rPr>
        <w:t>Tiekėjas savo pasiūlyme pateikė netikslius ar neišsamius duomenis apie savo kvalifikaciją ir, perkančiajai organizacijai prašant, nepatikslino jų.</w:t>
      </w:r>
    </w:p>
    <w:p w:rsidR="002C566E" w:rsidRPr="006372C1" w:rsidRDefault="006C2CDF" w:rsidP="00EF5218">
      <w:pPr>
        <w:widowControl/>
        <w:tabs>
          <w:tab w:val="left" w:pos="73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76</w:t>
      </w:r>
      <w:r w:rsidR="002C566E" w:rsidRPr="006372C1">
        <w:rPr>
          <w:rFonts w:ascii="Times New Roman" w:hAnsi="Times New Roman" w:cs="Times New Roman"/>
          <w:color w:val="000000" w:themeColor="text1"/>
          <w:sz w:val="24"/>
        </w:rPr>
        <w:t>.3. pasiūlymas neatitiko pirkimo dokumentuose nustatytų reikalavimų;</w:t>
      </w:r>
    </w:p>
    <w:p w:rsidR="006C73C6" w:rsidRPr="006372C1" w:rsidRDefault="006C2CDF" w:rsidP="00EF5218">
      <w:pPr>
        <w:widowControl/>
        <w:tabs>
          <w:tab w:val="left" w:pos="69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lastRenderedPageBreak/>
        <w:t>76</w:t>
      </w:r>
      <w:r w:rsidR="006C73C6" w:rsidRPr="006372C1">
        <w:rPr>
          <w:rFonts w:ascii="Times New Roman" w:hAnsi="Times New Roman" w:cs="Times New Roman"/>
          <w:color w:val="000000" w:themeColor="text1"/>
          <w:sz w:val="24"/>
        </w:rPr>
        <w:t xml:space="preserve">.4. </w:t>
      </w:r>
      <w:r w:rsidR="000879E6" w:rsidRPr="006372C1">
        <w:rPr>
          <w:rFonts w:ascii="Times New Roman" w:hAnsi="Times New Roman" w:cs="Times New Roman"/>
          <w:color w:val="000000" w:themeColor="text1"/>
          <w:sz w:val="24"/>
        </w:rPr>
        <w:t>Buvo pasiūlyta neįprastai maža kaina ir tiekėjas perkančiosios organizacijos prašymu nepateikė raštiško kainos sudėtinių dalių pagrindimo arba kitaip nepagrindė neįprastai mažos kainos;</w:t>
      </w:r>
    </w:p>
    <w:p w:rsidR="002C566E" w:rsidRPr="006372C1" w:rsidRDefault="006C2CDF"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76</w:t>
      </w:r>
      <w:r w:rsidR="002C566E" w:rsidRPr="006372C1">
        <w:rPr>
          <w:rFonts w:ascii="Times New Roman" w:hAnsi="Times New Roman" w:cs="Times New Roman"/>
          <w:color w:val="000000" w:themeColor="text1"/>
          <w:sz w:val="24"/>
        </w:rPr>
        <w:t>.5. visų tiekėjų, kurių pasiūlymai neatmesti dėl kitų priežasčių, buvo pasiūlytos per didelės</w:t>
      </w:r>
      <w:r w:rsidR="00DB428C" w:rsidRPr="006372C1">
        <w:rPr>
          <w:rFonts w:ascii="Times New Roman" w:hAnsi="Times New Roman" w:cs="Times New Roman"/>
          <w:color w:val="000000" w:themeColor="text1"/>
          <w:sz w:val="24"/>
        </w:rPr>
        <w:t xml:space="preserve"> ir (ar)</w:t>
      </w:r>
      <w:r w:rsidR="002C566E" w:rsidRPr="006372C1">
        <w:rPr>
          <w:rFonts w:ascii="Times New Roman" w:hAnsi="Times New Roman" w:cs="Times New Roman"/>
          <w:color w:val="000000" w:themeColor="text1"/>
          <w:sz w:val="24"/>
        </w:rPr>
        <w:t>, perkančiajai organizacijai nepriimtinos kainos;</w:t>
      </w:r>
    </w:p>
    <w:p w:rsidR="002C566E" w:rsidRPr="006372C1" w:rsidRDefault="006C2CDF"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76</w:t>
      </w:r>
      <w:r w:rsidR="002C566E" w:rsidRPr="006372C1">
        <w:rPr>
          <w:rFonts w:ascii="Times New Roman" w:hAnsi="Times New Roman" w:cs="Times New Roman"/>
          <w:color w:val="000000" w:themeColor="text1"/>
          <w:sz w:val="24"/>
        </w:rPr>
        <w:t>.6. tiekėjas pateikė pasiūlymą ir voke, ir elektroninėmis priemonėmis;</w:t>
      </w:r>
    </w:p>
    <w:p w:rsidR="006372C1" w:rsidRPr="006372C1" w:rsidRDefault="006C2CDF"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76</w:t>
      </w:r>
      <w:r w:rsidR="002C566E" w:rsidRPr="006372C1">
        <w:rPr>
          <w:rFonts w:ascii="Times New Roman" w:hAnsi="Times New Roman" w:cs="Times New Roman"/>
          <w:color w:val="000000" w:themeColor="text1"/>
          <w:sz w:val="24"/>
        </w:rPr>
        <w:t>.7. pasiūlymas pateiktas be saugaus elektroninio parašo, kai jo buvo reikalauta</w:t>
      </w:r>
      <w:r w:rsidR="000879E6" w:rsidRPr="006372C1">
        <w:rPr>
          <w:rFonts w:ascii="Times New Roman" w:hAnsi="Times New Roman" w:cs="Times New Roman"/>
          <w:color w:val="000000" w:themeColor="text1"/>
          <w:sz w:val="24"/>
        </w:rPr>
        <w:t>.</w:t>
      </w:r>
      <w:r w:rsidR="002C566E" w:rsidRPr="006372C1">
        <w:rPr>
          <w:rFonts w:ascii="Times New Roman" w:hAnsi="Times New Roman" w:cs="Times New Roman"/>
          <w:color w:val="000000" w:themeColor="text1"/>
          <w:sz w:val="24"/>
        </w:rPr>
        <w:t xml:space="preserve"> </w:t>
      </w:r>
    </w:p>
    <w:p w:rsidR="006C73C6" w:rsidRPr="006372C1" w:rsidRDefault="008075B5" w:rsidP="00EF5218">
      <w:pPr>
        <w:widowControl/>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76.</w:t>
      </w:r>
      <w:r w:rsidR="000879E6"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w:t>
      </w:r>
      <w:r w:rsidRPr="006372C1">
        <w:rPr>
          <w:color w:val="000000" w:themeColor="text1"/>
          <w:lang w:eastAsia="sl-SI"/>
        </w:rPr>
        <w:t xml:space="preserve">  </w:t>
      </w:r>
      <w:r w:rsidRPr="006372C1">
        <w:rPr>
          <w:rFonts w:ascii="Times New Roman" w:hAnsi="Times New Roman" w:cs="Times New Roman"/>
          <w:color w:val="000000" w:themeColor="text1"/>
          <w:sz w:val="24"/>
          <w:shd w:val="clear" w:color="auto" w:fill="FFFFFF"/>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6C73C6" w:rsidRPr="006372C1">
        <w:rPr>
          <w:rFonts w:ascii="Times New Roman" w:hAnsi="Times New Roman" w:cs="Times New Roman"/>
          <w:color w:val="000000" w:themeColor="text1"/>
          <w:sz w:val="24"/>
        </w:rPr>
        <w:t xml:space="preserve"> </w:t>
      </w:r>
    </w:p>
    <w:p w:rsidR="002C566E" w:rsidRPr="006372C1" w:rsidRDefault="006C2CDF" w:rsidP="00EF5218">
      <w:pPr>
        <w:widowControl/>
        <w:tabs>
          <w:tab w:val="left" w:pos="57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77</w:t>
      </w:r>
      <w:r w:rsidR="002C566E" w:rsidRPr="006372C1">
        <w:rPr>
          <w:rFonts w:ascii="Times New Roman" w:hAnsi="Times New Roman" w:cs="Times New Roman"/>
          <w:color w:val="000000" w:themeColor="text1"/>
          <w:sz w:val="24"/>
        </w:rPr>
        <w:t xml:space="preserve">. Dėl Taisyklių </w:t>
      </w:r>
      <w:r w:rsidR="005167E5" w:rsidRPr="006372C1">
        <w:rPr>
          <w:rFonts w:ascii="Times New Roman" w:hAnsi="Times New Roman" w:cs="Times New Roman"/>
          <w:color w:val="000000" w:themeColor="text1"/>
          <w:sz w:val="24"/>
        </w:rPr>
        <w:t>76</w:t>
      </w:r>
      <w:r w:rsidR="002C566E" w:rsidRPr="006372C1">
        <w:rPr>
          <w:rFonts w:ascii="Times New Roman" w:hAnsi="Times New Roman" w:cs="Times New Roman"/>
          <w:color w:val="000000" w:themeColor="text1"/>
          <w:sz w:val="24"/>
        </w:rPr>
        <w:t xml:space="preserve"> punkte nurodytų priežasčių neatmesti pasiūlymai vertinami remiantis vienu iš šių kriterijų:</w:t>
      </w:r>
    </w:p>
    <w:p w:rsidR="002C566E" w:rsidRPr="006372C1" w:rsidRDefault="006C2CDF"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77</w:t>
      </w:r>
      <w:r w:rsidR="002C566E" w:rsidRPr="006372C1">
        <w:rPr>
          <w:rFonts w:ascii="Times New Roman" w:hAnsi="Times New Roman" w:cs="Times New Roman"/>
          <w:color w:val="000000" w:themeColor="text1"/>
          <w:sz w:val="24"/>
        </w:rPr>
        <w:t xml:space="preserve">.1. </w:t>
      </w:r>
      <w:r w:rsidR="005543E3" w:rsidRPr="006372C1">
        <w:rPr>
          <w:rFonts w:ascii="Times New Roman" w:hAnsi="Times New Roman" w:cs="Times New Roman"/>
          <w:color w:val="000000" w:themeColor="text1"/>
          <w:sz w:val="24"/>
          <w:lang w:eastAsia="sl-SI"/>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005543E3" w:rsidRPr="006372C1">
        <w:rPr>
          <w:rFonts w:ascii="Times New Roman" w:hAnsi="Times New Roman" w:cs="Times New Roman"/>
          <w:b/>
          <w:color w:val="000000" w:themeColor="text1"/>
          <w:sz w:val="24"/>
          <w:lang w:eastAsia="sl-SI"/>
        </w:rPr>
        <w:t xml:space="preserve"> </w:t>
      </w:r>
      <w:r w:rsidR="005543E3" w:rsidRPr="006372C1">
        <w:rPr>
          <w:rFonts w:ascii="Times New Roman" w:hAnsi="Times New Roman" w:cs="Times New Roman"/>
          <w:color w:val="000000" w:themeColor="text1"/>
          <w:sz w:val="24"/>
          <w:lang w:eastAsia="sl-SI"/>
        </w:rPr>
        <w:t>Kitais atvejais pasiūlymų vertinimo kriterijais negali būti pasirenkami tiekėjų kvalifikacijos kriterijai;</w:t>
      </w:r>
    </w:p>
    <w:p w:rsidR="002C566E" w:rsidRPr="006372C1" w:rsidRDefault="006C2CDF"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77</w:t>
      </w:r>
      <w:r w:rsidR="002C566E" w:rsidRPr="006372C1">
        <w:rPr>
          <w:rFonts w:ascii="Times New Roman" w:hAnsi="Times New Roman" w:cs="Times New Roman"/>
          <w:color w:val="000000" w:themeColor="text1"/>
          <w:sz w:val="24"/>
        </w:rPr>
        <w:t>.2. mažiausios kainos.</w:t>
      </w:r>
    </w:p>
    <w:p w:rsidR="005543E3" w:rsidRPr="006372C1" w:rsidRDefault="005543E3" w:rsidP="005543E3">
      <w:pPr>
        <w:ind w:firstLine="567"/>
        <w:jc w:val="both"/>
        <w:rPr>
          <w:color w:val="000000" w:themeColor="text1"/>
          <w:lang w:eastAsia="sl-SI"/>
        </w:rPr>
      </w:pPr>
      <w:r w:rsidRPr="006372C1">
        <w:rPr>
          <w:rFonts w:ascii="Times New Roman" w:hAnsi="Times New Roman" w:cs="Times New Roman"/>
          <w:color w:val="000000" w:themeColor="text1"/>
          <w:sz w:val="24"/>
        </w:rPr>
        <w:t xml:space="preserve"> </w:t>
      </w:r>
      <w:r w:rsidR="006372C1" w:rsidRPr="006372C1">
        <w:rPr>
          <w:rFonts w:ascii="Times New Roman" w:hAnsi="Times New Roman" w:cs="Times New Roman"/>
          <w:color w:val="000000" w:themeColor="text1"/>
          <w:sz w:val="24"/>
        </w:rPr>
        <w:t xml:space="preserve"> </w:t>
      </w:r>
      <w:r w:rsidRPr="006372C1">
        <w:rPr>
          <w:rFonts w:ascii="Times New Roman" w:hAnsi="Times New Roman" w:cs="Times New Roman"/>
          <w:color w:val="000000" w:themeColor="text1"/>
          <w:sz w:val="24"/>
        </w:rPr>
        <w:t xml:space="preserve"> </w:t>
      </w:r>
      <w:r w:rsidR="009847B9" w:rsidRPr="006372C1">
        <w:rPr>
          <w:rFonts w:ascii="Times New Roman" w:hAnsi="Times New Roman" w:cs="Times New Roman"/>
          <w:color w:val="000000" w:themeColor="text1"/>
          <w:sz w:val="24"/>
        </w:rPr>
        <w:t>78.</w:t>
      </w:r>
      <w:r w:rsidRPr="006372C1">
        <w:rPr>
          <w:color w:val="000000" w:themeColor="text1"/>
        </w:rPr>
        <w:t xml:space="preserve"> </w:t>
      </w:r>
      <w:sdt>
        <w:sdtPr>
          <w:rPr>
            <w:color w:val="000000" w:themeColor="text1"/>
          </w:rPr>
          <w:alias w:val="citata"/>
          <w:tag w:val="part_ae09e4187c7d4ee58d0610a3e9dd39e7"/>
          <w:id w:val="24803817"/>
        </w:sdtPr>
        <w:sdtEndPr/>
        <w:sdtContent>
          <w:sdt>
            <w:sdtPr>
              <w:rPr>
                <w:color w:val="000000" w:themeColor="text1"/>
              </w:rPr>
              <w:alias w:val="60-1 p."/>
              <w:tag w:val="part_b867f7f4380148e48136b9a0d5c52eaf"/>
              <w:id w:val="24803816"/>
            </w:sdtPr>
            <w:sdtEndPr/>
            <w:sdtContent>
              <w:r w:rsidRPr="006372C1">
                <w:rPr>
                  <w:color w:val="000000" w:themeColor="text1"/>
                  <w:lang w:eastAsia="sl-SI"/>
                </w:rPr>
                <w:t xml:space="preserve"> </w:t>
              </w:r>
              <w:r w:rsidRPr="006372C1">
                <w:rPr>
                  <w:rFonts w:ascii="Times New Roman" w:hAnsi="Times New Roman" w:cs="Times New Roman"/>
                  <w:color w:val="000000" w:themeColor="text1"/>
                  <w:sz w:val="24"/>
                  <w:lang w:eastAsia="sl-SI"/>
                </w:rPr>
                <w:t>Vykdant supaprastintą projekto konkursą ar perkant meno, kultūros paslaugas, pateikti pasiūlymai gali būti vertinami pagal perkančiosios organizacijos nustatytus kriterijus, kurie nebūtinai turi remtis mažiausia kaina ar ekonomiškai naudingiausio p</w:t>
              </w:r>
              <w:r w:rsidR="009847B9" w:rsidRPr="006372C1">
                <w:rPr>
                  <w:rFonts w:ascii="Times New Roman" w:hAnsi="Times New Roman" w:cs="Times New Roman"/>
                  <w:color w:val="000000" w:themeColor="text1"/>
                  <w:sz w:val="24"/>
                  <w:lang w:eastAsia="sl-SI"/>
                </w:rPr>
                <w:t>asiūlymo vertinimo kriterijumi.</w:t>
              </w:r>
            </w:sdtContent>
          </w:sdt>
        </w:sdtContent>
      </w:sdt>
    </w:p>
    <w:p w:rsidR="002C566E" w:rsidRPr="006372C1" w:rsidRDefault="009847B9"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 xml:space="preserve">79. </w:t>
      </w:r>
      <w:r w:rsidR="00DB428C" w:rsidRPr="006372C1">
        <w:rPr>
          <w:rFonts w:ascii="Times New Roman" w:hAnsi="Times New Roman" w:cs="Times New Roman"/>
          <w:color w:val="000000" w:themeColor="text1"/>
          <w:sz w:val="24"/>
        </w:rPr>
        <w:t>Perkant prekes, paslaugas ar darbus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numatytus reikalavimus.</w:t>
      </w:r>
    </w:p>
    <w:p w:rsidR="002C566E" w:rsidRPr="006372C1" w:rsidRDefault="009847B9" w:rsidP="00712BB9">
      <w:pPr>
        <w:tabs>
          <w:tab w:val="left" w:pos="57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 xml:space="preserve">80. </w:t>
      </w:r>
      <w:r w:rsidR="002C566E" w:rsidRPr="006372C1">
        <w:rPr>
          <w:rFonts w:ascii="Times New Roman" w:hAnsi="Times New Roman" w:cs="Times New Roman"/>
          <w:color w:val="000000" w:themeColor="text1"/>
          <w:sz w:val="24"/>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C566E" w:rsidRPr="006372C1" w:rsidRDefault="006C2CDF" w:rsidP="00BC226F">
      <w:pPr>
        <w:widowControl/>
        <w:tabs>
          <w:tab w:val="left" w:pos="57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81</w:t>
      </w:r>
      <w:r w:rsidR="002C566E" w:rsidRPr="006372C1">
        <w:rPr>
          <w:rFonts w:ascii="Times New Roman" w:hAnsi="Times New Roman" w:cs="Times New Roman"/>
          <w:color w:val="000000" w:themeColor="text1"/>
          <w:sz w:val="24"/>
        </w:rPr>
        <w:t>. Perkančioji organizacija, pagal pirkimo dokumentuose nustatytus vertinimo kriterijus ir tvarką įvertinusi pateiktus dalyvių pasiūlymus,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C566E" w:rsidRPr="006372C1" w:rsidRDefault="006C2CDF" w:rsidP="00BC226F">
      <w:pPr>
        <w:widowControl/>
        <w:tabs>
          <w:tab w:val="left" w:pos="57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lastRenderedPageBreak/>
        <w:t>82</w:t>
      </w:r>
      <w:r w:rsidR="002C566E" w:rsidRPr="006372C1">
        <w:rPr>
          <w:rFonts w:ascii="Times New Roman" w:hAnsi="Times New Roman" w:cs="Times New Roman"/>
          <w:color w:val="000000" w:themeColor="text1"/>
          <w:sz w:val="24"/>
        </w:rPr>
        <w:t xml:space="preserve">. Tais atvejais, kai pasiūlymą pateikti kviečiamas tik vienas tiekėjas arba pasiūlymą pateikia tik vienas tiekėjas, jo pasiūlymas laikomas laimėjusiu, jeigu jis neatmestas pagal Taisyklių </w:t>
      </w:r>
      <w:r w:rsidR="005167E5" w:rsidRPr="006372C1">
        <w:rPr>
          <w:rFonts w:ascii="Times New Roman" w:hAnsi="Times New Roman" w:cs="Times New Roman"/>
          <w:color w:val="000000" w:themeColor="text1"/>
          <w:sz w:val="24"/>
        </w:rPr>
        <w:t>76</w:t>
      </w:r>
      <w:r w:rsidR="002C566E" w:rsidRPr="006372C1">
        <w:rPr>
          <w:rFonts w:ascii="Times New Roman" w:hAnsi="Times New Roman" w:cs="Times New Roman"/>
          <w:color w:val="000000" w:themeColor="text1"/>
          <w:sz w:val="24"/>
        </w:rPr>
        <w:t xml:space="preserve"> punkto nuostatas.</w:t>
      </w:r>
    </w:p>
    <w:p w:rsidR="002C566E" w:rsidRPr="006372C1" w:rsidRDefault="002C566E" w:rsidP="00EF5218">
      <w:pPr>
        <w:widowControl/>
        <w:jc w:val="both"/>
        <w:rPr>
          <w:rFonts w:ascii="Times New Roman" w:hAnsi="Times New Roman" w:cs="Times New Roman"/>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IX.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PIRKIMO SUTARTIS</w:t>
      </w:r>
    </w:p>
    <w:p w:rsidR="002C566E" w:rsidRPr="006372C1" w:rsidRDefault="002C566E" w:rsidP="00EF5218">
      <w:pPr>
        <w:widowControl/>
        <w:tabs>
          <w:tab w:val="left" w:pos="576"/>
        </w:tabs>
        <w:jc w:val="both"/>
        <w:rPr>
          <w:rFonts w:ascii="Times New Roman" w:hAnsi="Times New Roman" w:cs="Times New Roman"/>
          <w:color w:val="000000" w:themeColor="text1"/>
          <w:sz w:val="24"/>
        </w:rPr>
      </w:pPr>
    </w:p>
    <w:p w:rsidR="002C566E" w:rsidRPr="006372C1" w:rsidRDefault="006C2CDF" w:rsidP="00EF5218">
      <w:pPr>
        <w:widowControl/>
        <w:tabs>
          <w:tab w:val="left" w:pos="57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83</w:t>
      </w:r>
      <w:r w:rsidR="002C566E" w:rsidRPr="006372C1">
        <w:rPr>
          <w:rFonts w:ascii="Times New Roman" w:hAnsi="Times New Roman" w:cs="Times New Roman"/>
          <w:color w:val="000000" w:themeColor="text1"/>
          <w:sz w:val="24"/>
        </w:rPr>
        <w:t xml:space="preserve">. Perkančioji organizacija pasirašyti pirkimo sutartį siūlo tam dalyviui, kurio pasiūlymas pripažintas laimėjusiu. Tiekėjas pasirašyti pirkimo sutarties kviečiamas raštu arba elektroninėmis priemonėmis per CVP IS (išskyrus atvejus, kai apklausa vykdoma žodžiu). Kvietime pasirašyti pirkimo sutartį, nepažeidžiant Taisyklių </w:t>
      </w:r>
      <w:r w:rsidR="005167E5" w:rsidRPr="006372C1">
        <w:rPr>
          <w:rFonts w:ascii="Times New Roman" w:hAnsi="Times New Roman" w:cs="Times New Roman"/>
          <w:color w:val="000000" w:themeColor="text1"/>
          <w:sz w:val="24"/>
        </w:rPr>
        <w:t>85</w:t>
      </w:r>
      <w:r w:rsidR="002C566E" w:rsidRPr="006372C1">
        <w:rPr>
          <w:rFonts w:ascii="Times New Roman" w:hAnsi="Times New Roman" w:cs="Times New Roman"/>
          <w:color w:val="000000" w:themeColor="text1"/>
          <w:sz w:val="24"/>
        </w:rPr>
        <w:t xml:space="preserve"> ir </w:t>
      </w:r>
      <w:r w:rsidR="005167E5" w:rsidRPr="006372C1">
        <w:rPr>
          <w:rFonts w:ascii="Times New Roman" w:hAnsi="Times New Roman" w:cs="Times New Roman"/>
          <w:color w:val="000000" w:themeColor="text1"/>
          <w:sz w:val="24"/>
        </w:rPr>
        <w:t>86</w:t>
      </w:r>
      <w:r w:rsidR="002C566E" w:rsidRPr="006372C1">
        <w:rPr>
          <w:rFonts w:ascii="Times New Roman" w:hAnsi="Times New Roman" w:cs="Times New Roman"/>
          <w:color w:val="000000" w:themeColor="text1"/>
          <w:sz w:val="24"/>
        </w:rPr>
        <w:t xml:space="preserve"> punkto reikalavimų, nurodomas laikas, iki kada jis turi pasirašyti pirkimo sutartį.</w:t>
      </w:r>
    </w:p>
    <w:p w:rsidR="002C566E" w:rsidRPr="006372C1" w:rsidRDefault="006C2CDF" w:rsidP="00EF5218">
      <w:pPr>
        <w:widowControl/>
        <w:tabs>
          <w:tab w:val="left" w:pos="57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84</w:t>
      </w:r>
      <w:r w:rsidR="002C566E" w:rsidRPr="006372C1">
        <w:rPr>
          <w:rFonts w:ascii="Times New Roman" w:hAnsi="Times New Roman" w:cs="Times New Roman"/>
          <w:color w:val="000000" w:themeColor="text1"/>
          <w:sz w:val="24"/>
        </w:rPr>
        <w:t xml:space="preserve">. Komisija ar pirkimų organizatorius, įvykdęs pirkimo procedūras, </w:t>
      </w:r>
      <w:r w:rsidR="002172CB" w:rsidRPr="006372C1">
        <w:rPr>
          <w:rFonts w:ascii="Times New Roman" w:hAnsi="Times New Roman" w:cs="Times New Roman"/>
          <w:color w:val="000000" w:themeColor="text1"/>
          <w:sz w:val="24"/>
        </w:rPr>
        <w:t xml:space="preserve"> parengia pirkimo sutarties projektą, jeigu jis nebuvo parengtas kaip sudėtinė pirkimo dokumentų dalis.</w:t>
      </w:r>
      <w:r w:rsidR="002C566E" w:rsidRPr="006372C1">
        <w:rPr>
          <w:rFonts w:ascii="Times New Roman" w:hAnsi="Times New Roman" w:cs="Times New Roman"/>
          <w:color w:val="000000" w:themeColor="text1"/>
          <w:sz w:val="24"/>
        </w:rPr>
        <w:t xml:space="preserve"> Perkančioji organizacija gali viešojo pirkimo dokumentuose nurodyti, kad pirkimo sutarties projektą parengia pirkimą laimėjęs tiekėjas.</w:t>
      </w:r>
    </w:p>
    <w:p w:rsidR="002C566E" w:rsidRPr="006372C1" w:rsidRDefault="006C2CDF" w:rsidP="00EF5218">
      <w:pPr>
        <w:widowControl/>
        <w:tabs>
          <w:tab w:val="left" w:pos="57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85</w:t>
      </w:r>
      <w:r w:rsidR="002C566E" w:rsidRPr="006372C1">
        <w:rPr>
          <w:rFonts w:ascii="Times New Roman" w:hAnsi="Times New Roman" w:cs="Times New Roman"/>
          <w:color w:val="000000" w:themeColor="text1"/>
          <w:sz w:val="24"/>
        </w:rPr>
        <w:t>. Pirkimo sutartis turi būti sudaroma nedelsiant, bet ne anksčiau negu pasibaigė Viešųjų pirkimų įstatyme nustatytas pirkimo sutarties sudarymo atidėjimo terminas. Atidėjimo terminas gali būti netaikomas:</w:t>
      </w:r>
    </w:p>
    <w:p w:rsidR="002C566E" w:rsidRPr="006372C1" w:rsidRDefault="006C2CDF"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85</w:t>
      </w:r>
      <w:r w:rsidR="002C566E" w:rsidRPr="006372C1">
        <w:rPr>
          <w:rFonts w:ascii="Times New Roman" w:hAnsi="Times New Roman" w:cs="Times New Roman"/>
          <w:color w:val="000000" w:themeColor="text1"/>
          <w:sz w:val="24"/>
        </w:rPr>
        <w:t>.1. kai pagrindinė pirkimo sutartis sudaroma preliminariosios sutarties pagrindu arba taikant dinaminę pirkimo sistemą;</w:t>
      </w:r>
    </w:p>
    <w:p w:rsidR="002C566E" w:rsidRPr="006372C1" w:rsidRDefault="006C2CDF"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85</w:t>
      </w:r>
      <w:r w:rsidR="002C566E" w:rsidRPr="006372C1">
        <w:rPr>
          <w:rFonts w:ascii="Times New Roman" w:hAnsi="Times New Roman" w:cs="Times New Roman"/>
          <w:color w:val="000000" w:themeColor="text1"/>
          <w:sz w:val="24"/>
        </w:rPr>
        <w:t>.2. vienintelis suinteresuotas dalyvis yra tas, su kuriuo sudaroma pirkimo sutartis, ir nėra suinteresuotų kandidatų;</w:t>
      </w:r>
    </w:p>
    <w:p w:rsidR="002C566E" w:rsidRPr="006372C1" w:rsidRDefault="006C2CDF"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85</w:t>
      </w:r>
      <w:r w:rsidR="002C566E" w:rsidRPr="006372C1">
        <w:rPr>
          <w:rFonts w:ascii="Times New Roman" w:hAnsi="Times New Roman" w:cs="Times New Roman"/>
          <w:color w:val="000000" w:themeColor="text1"/>
          <w:sz w:val="24"/>
        </w:rPr>
        <w:t xml:space="preserve">.3. kai pirkimo sutarties vertė mažesnė kaip </w:t>
      </w:r>
      <w:r w:rsidR="00EC7430" w:rsidRPr="006372C1">
        <w:rPr>
          <w:rFonts w:ascii="Times New Roman" w:hAnsi="Times New Roman" w:cs="Times New Roman"/>
          <w:color w:val="000000" w:themeColor="text1"/>
          <w:sz w:val="24"/>
        </w:rPr>
        <w:t>3 000</w:t>
      </w:r>
      <w:r w:rsidR="002C566E" w:rsidRPr="006372C1">
        <w:rPr>
          <w:rFonts w:ascii="Times New Roman" w:hAnsi="Times New Roman" w:cs="Times New Roman"/>
          <w:color w:val="000000" w:themeColor="text1"/>
          <w:sz w:val="24"/>
        </w:rPr>
        <w:t xml:space="preserve"> </w:t>
      </w:r>
      <w:r w:rsidR="00EC7430" w:rsidRPr="006372C1">
        <w:rPr>
          <w:rFonts w:ascii="Times New Roman" w:hAnsi="Times New Roman" w:cs="Times New Roman"/>
          <w:color w:val="000000" w:themeColor="text1"/>
          <w:sz w:val="24"/>
        </w:rPr>
        <w:t>eurų</w:t>
      </w:r>
      <w:r w:rsidR="002C566E" w:rsidRPr="006372C1">
        <w:rPr>
          <w:rFonts w:ascii="Times New Roman" w:hAnsi="Times New Roman" w:cs="Times New Roman"/>
          <w:color w:val="000000" w:themeColor="text1"/>
          <w:sz w:val="24"/>
        </w:rPr>
        <w:t xml:space="preserve"> (be </w:t>
      </w:r>
      <w:r w:rsidR="00EC7430" w:rsidRPr="006372C1">
        <w:rPr>
          <w:rFonts w:ascii="Times New Roman" w:hAnsi="Times New Roman" w:cs="Times New Roman"/>
          <w:color w:val="000000" w:themeColor="text1"/>
          <w:sz w:val="24"/>
        </w:rPr>
        <w:t>pridėtinės vertės mokesčio)</w:t>
      </w:r>
      <w:r w:rsidR="00B877C4" w:rsidRPr="006372C1">
        <w:rPr>
          <w:rFonts w:ascii="Times New Roman" w:hAnsi="Times New Roman" w:cs="Times New Roman"/>
          <w:color w:val="000000" w:themeColor="text1"/>
          <w:sz w:val="24"/>
        </w:rPr>
        <w:t xml:space="preserve"> arba kai pirk</w:t>
      </w:r>
      <w:r w:rsidR="00214D27" w:rsidRPr="006372C1">
        <w:rPr>
          <w:rFonts w:ascii="Times New Roman" w:hAnsi="Times New Roman" w:cs="Times New Roman"/>
          <w:color w:val="000000" w:themeColor="text1"/>
          <w:sz w:val="24"/>
        </w:rPr>
        <w:t>imo sutarti</w:t>
      </w:r>
      <w:r w:rsidR="00B877C4" w:rsidRPr="006372C1">
        <w:rPr>
          <w:rFonts w:ascii="Times New Roman" w:hAnsi="Times New Roman" w:cs="Times New Roman"/>
          <w:color w:val="000000" w:themeColor="text1"/>
          <w:sz w:val="24"/>
        </w:rPr>
        <w:t>s sudaroma atliekant mažos vertės pirkimą</w:t>
      </w:r>
      <w:r w:rsidR="002C566E" w:rsidRPr="006372C1">
        <w:rPr>
          <w:rFonts w:ascii="Times New Roman" w:hAnsi="Times New Roman" w:cs="Times New Roman"/>
          <w:color w:val="000000" w:themeColor="text1"/>
          <w:sz w:val="24"/>
        </w:rPr>
        <w:t>.</w:t>
      </w:r>
    </w:p>
    <w:p w:rsidR="002C566E" w:rsidRPr="006372C1" w:rsidRDefault="006C2CDF" w:rsidP="00EF5218">
      <w:pPr>
        <w:widowControl/>
        <w:tabs>
          <w:tab w:val="left" w:pos="57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86</w:t>
      </w:r>
      <w:r w:rsidR="002C566E" w:rsidRPr="006372C1">
        <w:rPr>
          <w:rFonts w:ascii="Times New Roman" w:hAnsi="Times New Roman" w:cs="Times New Roman"/>
          <w:color w:val="000000" w:themeColor="text1"/>
          <w:sz w:val="24"/>
        </w:rPr>
        <w:t xml:space="preserve">. </w:t>
      </w:r>
      <w:r w:rsidR="00BF2014" w:rsidRPr="006372C1">
        <w:rPr>
          <w:rFonts w:ascii="Times New Roman" w:hAnsi="Times New Roman" w:cs="Times New Roman"/>
          <w:color w:val="000000" w:themeColor="text1"/>
          <w:sz w:val="24"/>
        </w:rPr>
        <w:t xml:space="preserve">Vadovaujantis </w:t>
      </w:r>
      <w:r w:rsidR="002C566E" w:rsidRPr="006372C1">
        <w:rPr>
          <w:rFonts w:ascii="Times New Roman" w:hAnsi="Times New Roman" w:cs="Times New Roman"/>
          <w:color w:val="000000" w:themeColor="text1"/>
          <w:sz w:val="24"/>
        </w:rPr>
        <w:t>Viešųjų</w:t>
      </w:r>
      <w:r w:rsidR="00BF2014" w:rsidRPr="006372C1">
        <w:rPr>
          <w:rFonts w:ascii="Times New Roman" w:hAnsi="Times New Roman" w:cs="Times New Roman"/>
          <w:color w:val="000000" w:themeColor="text1"/>
          <w:sz w:val="24"/>
        </w:rPr>
        <w:t xml:space="preserve"> pirkimų į</w:t>
      </w:r>
      <w:r w:rsidR="006372C1" w:rsidRPr="006372C1">
        <w:rPr>
          <w:rFonts w:ascii="Times New Roman" w:hAnsi="Times New Roman" w:cs="Times New Roman"/>
          <w:color w:val="000000" w:themeColor="text1"/>
          <w:sz w:val="24"/>
        </w:rPr>
        <w:t>statymo 92 straipsnio 8 dalimi,</w:t>
      </w:r>
      <w:r w:rsidR="002C566E" w:rsidRPr="006372C1">
        <w:rPr>
          <w:rFonts w:ascii="Times New Roman" w:hAnsi="Times New Roman" w:cs="Times New Roman"/>
          <w:color w:val="000000" w:themeColor="text1"/>
          <w:sz w:val="24"/>
        </w:rPr>
        <w:t xml:space="preserve">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002C566E" w:rsidRPr="006372C1">
        <w:rPr>
          <w:rFonts w:ascii="Times New Roman" w:hAnsi="Times New Roman" w:cs="Times New Roman"/>
          <w:i/>
          <w:color w:val="000000" w:themeColor="text1"/>
          <w:sz w:val="24"/>
        </w:rPr>
        <w:t>ex</w:t>
      </w:r>
      <w:proofErr w:type="spellEnd"/>
      <w:r w:rsidR="002C566E" w:rsidRPr="006372C1">
        <w:rPr>
          <w:rFonts w:ascii="Times New Roman" w:hAnsi="Times New Roman" w:cs="Times New Roman"/>
          <w:i/>
          <w:color w:val="000000" w:themeColor="text1"/>
          <w:sz w:val="24"/>
        </w:rPr>
        <w:t xml:space="preserve"> </w:t>
      </w:r>
      <w:proofErr w:type="spellStart"/>
      <w:r w:rsidR="002C566E" w:rsidRPr="006372C1">
        <w:rPr>
          <w:rFonts w:ascii="Times New Roman" w:hAnsi="Times New Roman" w:cs="Times New Roman"/>
          <w:i/>
          <w:color w:val="000000" w:themeColor="text1"/>
          <w:sz w:val="24"/>
        </w:rPr>
        <w:t>ante</w:t>
      </w:r>
      <w:proofErr w:type="spellEnd"/>
      <w:r w:rsidR="002C566E" w:rsidRPr="006372C1">
        <w:rPr>
          <w:rFonts w:ascii="Times New Roman" w:hAnsi="Times New Roman" w:cs="Times New Roman"/>
          <w:color w:val="000000" w:themeColor="text1"/>
          <w:sz w:val="24"/>
        </w:rPr>
        <w:t xml:space="preserve"> skaidrumo, pirkimo sutartis gali būti sudaroma ne anksčiau kaip po 10 dienų nuo šio pranešimo paskelbimo dienos.</w:t>
      </w:r>
    </w:p>
    <w:p w:rsidR="002C566E" w:rsidRPr="006372C1" w:rsidRDefault="006C2CDF" w:rsidP="00EF5218">
      <w:pPr>
        <w:widowControl/>
        <w:tabs>
          <w:tab w:val="left" w:pos="57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87</w:t>
      </w:r>
      <w:r w:rsidR="002C566E" w:rsidRPr="006372C1">
        <w:rPr>
          <w:rFonts w:ascii="Times New Roman" w:hAnsi="Times New Roman" w:cs="Times New Roman"/>
          <w:color w:val="000000" w:themeColor="text1"/>
          <w:sz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2C566E" w:rsidRPr="006372C1" w:rsidRDefault="006C2CDF" w:rsidP="00EF5218">
      <w:pPr>
        <w:widowControl/>
        <w:tabs>
          <w:tab w:val="left" w:pos="71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87</w:t>
      </w:r>
      <w:r w:rsidR="002C566E" w:rsidRPr="006372C1">
        <w:rPr>
          <w:rFonts w:ascii="Times New Roman" w:hAnsi="Times New Roman" w:cs="Times New Roman"/>
          <w:color w:val="000000" w:themeColor="text1"/>
          <w:sz w:val="24"/>
        </w:rPr>
        <w:t>.1. tiekėjas nepateikia pirkimo dokumentuose nustatyto pirkimo sutarties įvykdymo užtikrinimo;</w:t>
      </w:r>
    </w:p>
    <w:p w:rsidR="002C566E" w:rsidRPr="006372C1" w:rsidRDefault="006C2CDF" w:rsidP="00EF5218">
      <w:pPr>
        <w:widowControl/>
        <w:tabs>
          <w:tab w:val="left" w:pos="71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87</w:t>
      </w:r>
      <w:r w:rsidR="002C566E" w:rsidRPr="006372C1">
        <w:rPr>
          <w:rFonts w:ascii="Times New Roman" w:hAnsi="Times New Roman" w:cs="Times New Roman"/>
          <w:color w:val="000000" w:themeColor="text1"/>
          <w:sz w:val="24"/>
        </w:rPr>
        <w:t xml:space="preserve">.2. tiekėjas </w:t>
      </w:r>
      <w:r w:rsidR="003A20F8" w:rsidRPr="006372C1">
        <w:rPr>
          <w:rFonts w:ascii="Times New Roman" w:hAnsi="Times New Roman" w:cs="Times New Roman"/>
          <w:color w:val="000000" w:themeColor="text1"/>
          <w:sz w:val="24"/>
        </w:rPr>
        <w:t xml:space="preserve">nepasirašo </w:t>
      </w:r>
      <w:r w:rsidR="002C566E" w:rsidRPr="006372C1">
        <w:rPr>
          <w:rFonts w:ascii="Times New Roman" w:hAnsi="Times New Roman" w:cs="Times New Roman"/>
          <w:color w:val="000000" w:themeColor="text1"/>
          <w:sz w:val="24"/>
        </w:rPr>
        <w:t>pirkimo sutarties iki perkančiosios organizacijos nurodyto laiko;</w:t>
      </w:r>
    </w:p>
    <w:p w:rsidR="002C566E" w:rsidRPr="006372C1" w:rsidRDefault="006C2CDF" w:rsidP="00EF5218">
      <w:pPr>
        <w:widowControl/>
        <w:tabs>
          <w:tab w:val="left" w:pos="71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87</w:t>
      </w:r>
      <w:r w:rsidR="002C566E" w:rsidRPr="006372C1">
        <w:rPr>
          <w:rFonts w:ascii="Times New Roman" w:hAnsi="Times New Roman" w:cs="Times New Roman"/>
          <w:color w:val="000000" w:themeColor="text1"/>
          <w:sz w:val="24"/>
        </w:rPr>
        <w:t>.3. tiekėjas atsisako pasirašyti pirkimo sutartį pirkimo dokumentuose nustatytomis sąlygomis;</w:t>
      </w:r>
    </w:p>
    <w:p w:rsidR="002C566E" w:rsidRPr="006372C1" w:rsidRDefault="006C2CDF" w:rsidP="00EF5218">
      <w:pPr>
        <w:widowControl/>
        <w:tabs>
          <w:tab w:val="left" w:pos="71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87</w:t>
      </w:r>
      <w:r w:rsidR="002C566E" w:rsidRPr="006372C1">
        <w:rPr>
          <w:rFonts w:ascii="Times New Roman" w:hAnsi="Times New Roman" w:cs="Times New Roman"/>
          <w:color w:val="000000" w:themeColor="text1"/>
          <w:sz w:val="24"/>
        </w:rPr>
        <w:t>.4. ūkio subjektų grupė, kurios pasiūlymas pripažintas geriausiu, neįgijo perkančiosios organizacijos reikalaujamos teisinės formos;</w:t>
      </w:r>
    </w:p>
    <w:p w:rsidR="002C566E" w:rsidRPr="006372C1" w:rsidRDefault="002C566E" w:rsidP="00EF5218">
      <w:pPr>
        <w:widowControl/>
        <w:tabs>
          <w:tab w:val="left" w:pos="57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w:t>
      </w:r>
      <w:r w:rsidR="006C2CDF"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C566E" w:rsidRPr="006372C1" w:rsidRDefault="002C566E" w:rsidP="00EF5218">
      <w:pPr>
        <w:widowControl/>
        <w:tabs>
          <w:tab w:val="left" w:pos="57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Pirkimo sutartis sudaroma raštu, išskyrus atvejus, kai pirkimo sutartis gali būti sudaroma žodžiu. Kai pirkimo sutartis sudaroma raštu, turi būti nustatyta:</w:t>
      </w:r>
    </w:p>
    <w:p w:rsidR="002C566E" w:rsidRPr="006372C1" w:rsidRDefault="002C566E"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.1. pirkimo sutarties šalių teisės ir pareigos;</w:t>
      </w:r>
    </w:p>
    <w:p w:rsidR="002C566E" w:rsidRPr="006372C1" w:rsidRDefault="002C566E"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.2. perkamos prekės, paslaugos ar darbai, jeigu įmanoma, – tikslūs jų kiekiai;</w:t>
      </w:r>
    </w:p>
    <w:p w:rsidR="002C566E" w:rsidRPr="006372C1" w:rsidRDefault="002C566E"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.3</w:t>
      </w:r>
      <w:r w:rsidR="00F94145" w:rsidRPr="006372C1">
        <w:rPr>
          <w:rFonts w:ascii="Times New Roman" w:hAnsi="Times New Roman" w:cs="Times New Roman"/>
          <w:color w:val="000000" w:themeColor="text1"/>
          <w:sz w:val="24"/>
        </w:rPr>
        <w:t xml:space="preserve"> </w:t>
      </w:r>
      <w:r w:rsidR="00EC7430" w:rsidRPr="006372C1">
        <w:rPr>
          <w:rFonts w:ascii="Times New Roman" w:hAnsi="Times New Roman"/>
          <w:color w:val="000000" w:themeColor="text1"/>
          <w:sz w:val="24"/>
        </w:rPr>
        <w:t xml:space="preserve">kainodaros taisyklės, nustatytos pagal Viešojo pirkimo-pardavimo sutarčių kainos ir kainodaros taisyklių nustatymo metodiką, patvirtintą Viešųjų pirkimų tarnybos prie Lietuvos </w:t>
      </w:r>
      <w:r w:rsidR="00EC7430" w:rsidRPr="006372C1">
        <w:rPr>
          <w:rFonts w:ascii="Times New Roman" w:hAnsi="Times New Roman"/>
          <w:color w:val="000000" w:themeColor="text1"/>
          <w:sz w:val="24"/>
        </w:rPr>
        <w:lastRenderedPageBreak/>
        <w:t>Respublikos Vyriausybės direktoriaus 2003 m. vasario 25 d. įsakymu Nr. 1S-21 ,, Dėl viešojo pirkimo-pardavimo sutarčių kainodaros nustatymo metodikos patvirtinimo;</w:t>
      </w:r>
    </w:p>
    <w:p w:rsidR="002C566E" w:rsidRPr="006372C1" w:rsidRDefault="002C566E" w:rsidP="00EF5218">
      <w:pPr>
        <w:widowControl/>
        <w:tabs>
          <w:tab w:val="left" w:pos="725"/>
        </w:tabs>
        <w:jc w:val="both"/>
        <w:rPr>
          <w:rFonts w:ascii="Times New Roman" w:hAnsi="Times New Roman" w:cs="Times New Roman"/>
          <w:color w:val="000000" w:themeColor="text1"/>
          <w:sz w:val="24"/>
          <w:lang w:eastAsia="en-US"/>
        </w:rPr>
      </w:pPr>
      <w:r w:rsidRPr="006372C1">
        <w:rPr>
          <w:rFonts w:ascii="Times New Roman" w:hAnsi="Times New Roman" w:cs="Times New Roman"/>
          <w:color w:val="000000" w:themeColor="text1"/>
          <w:sz w:val="24"/>
          <w:lang w:eastAsia="en-US"/>
        </w:rPr>
        <w:t>8</w:t>
      </w:r>
      <w:r w:rsidR="006C2CDF" w:rsidRPr="006372C1">
        <w:rPr>
          <w:rFonts w:ascii="Times New Roman" w:hAnsi="Times New Roman" w:cs="Times New Roman"/>
          <w:color w:val="000000" w:themeColor="text1"/>
          <w:sz w:val="24"/>
          <w:lang w:eastAsia="en-US"/>
        </w:rPr>
        <w:t>9</w:t>
      </w:r>
      <w:r w:rsidRPr="006372C1">
        <w:rPr>
          <w:rFonts w:ascii="Times New Roman" w:hAnsi="Times New Roman" w:cs="Times New Roman"/>
          <w:color w:val="000000" w:themeColor="text1"/>
          <w:sz w:val="24"/>
          <w:lang w:eastAsia="en-US"/>
        </w:rPr>
        <w:t xml:space="preserve">.4. </w:t>
      </w:r>
      <w:r w:rsidRPr="006372C1">
        <w:rPr>
          <w:rFonts w:ascii="Times New Roman" w:hAnsi="Times New Roman" w:cs="Times New Roman"/>
          <w:color w:val="000000" w:themeColor="text1"/>
          <w:sz w:val="24"/>
        </w:rPr>
        <w:t>atsiskaitymų ir mokėjimo tvarka;</w:t>
      </w:r>
    </w:p>
    <w:p w:rsidR="002C566E" w:rsidRPr="006372C1" w:rsidRDefault="002C566E" w:rsidP="00EF5218">
      <w:pPr>
        <w:widowControl/>
        <w:tabs>
          <w:tab w:val="left" w:pos="725"/>
        </w:tabs>
        <w:jc w:val="both"/>
        <w:rPr>
          <w:rFonts w:ascii="Times New Roman" w:hAnsi="Times New Roman" w:cs="Times New Roman"/>
          <w:color w:val="000000" w:themeColor="text1"/>
          <w:sz w:val="24"/>
          <w:lang w:eastAsia="en-US"/>
        </w:rPr>
      </w:pPr>
      <w:r w:rsidRPr="006372C1">
        <w:rPr>
          <w:rFonts w:ascii="Times New Roman" w:hAnsi="Times New Roman" w:cs="Times New Roman"/>
          <w:color w:val="000000" w:themeColor="text1"/>
          <w:sz w:val="24"/>
          <w:lang w:eastAsia="en-US"/>
        </w:rPr>
        <w:t>8</w:t>
      </w:r>
      <w:r w:rsidR="006C2CDF" w:rsidRPr="006372C1">
        <w:rPr>
          <w:rFonts w:ascii="Times New Roman" w:hAnsi="Times New Roman" w:cs="Times New Roman"/>
          <w:color w:val="000000" w:themeColor="text1"/>
          <w:sz w:val="24"/>
          <w:lang w:eastAsia="en-US"/>
        </w:rPr>
        <w:t>9</w:t>
      </w:r>
      <w:r w:rsidRPr="006372C1">
        <w:rPr>
          <w:rFonts w:ascii="Times New Roman" w:hAnsi="Times New Roman" w:cs="Times New Roman"/>
          <w:color w:val="000000" w:themeColor="text1"/>
          <w:sz w:val="24"/>
          <w:lang w:eastAsia="en-US"/>
        </w:rPr>
        <w:t xml:space="preserve">.5. </w:t>
      </w:r>
      <w:r w:rsidRPr="006372C1">
        <w:rPr>
          <w:rFonts w:ascii="Times New Roman" w:hAnsi="Times New Roman" w:cs="Times New Roman"/>
          <w:color w:val="000000" w:themeColor="text1"/>
          <w:sz w:val="24"/>
        </w:rPr>
        <w:t>prievolių įvykdymo terminai;</w:t>
      </w:r>
    </w:p>
    <w:p w:rsidR="002C566E" w:rsidRPr="006372C1" w:rsidRDefault="002C566E" w:rsidP="00EF5218">
      <w:pPr>
        <w:widowControl/>
        <w:tabs>
          <w:tab w:val="left" w:pos="725"/>
        </w:tabs>
        <w:jc w:val="both"/>
        <w:rPr>
          <w:rFonts w:ascii="Times New Roman" w:hAnsi="Times New Roman" w:cs="Times New Roman"/>
          <w:color w:val="000000" w:themeColor="text1"/>
          <w:sz w:val="24"/>
          <w:lang w:eastAsia="en-US"/>
        </w:rPr>
      </w:pPr>
      <w:r w:rsidRPr="006372C1">
        <w:rPr>
          <w:rFonts w:ascii="Times New Roman" w:hAnsi="Times New Roman" w:cs="Times New Roman"/>
          <w:color w:val="000000" w:themeColor="text1"/>
          <w:sz w:val="24"/>
          <w:lang w:eastAsia="en-US"/>
        </w:rPr>
        <w:t>8</w:t>
      </w:r>
      <w:r w:rsidR="006C2CDF" w:rsidRPr="006372C1">
        <w:rPr>
          <w:rFonts w:ascii="Times New Roman" w:hAnsi="Times New Roman" w:cs="Times New Roman"/>
          <w:color w:val="000000" w:themeColor="text1"/>
          <w:sz w:val="24"/>
          <w:lang w:eastAsia="en-US"/>
        </w:rPr>
        <w:t>9</w:t>
      </w:r>
      <w:r w:rsidRPr="006372C1">
        <w:rPr>
          <w:rFonts w:ascii="Times New Roman" w:hAnsi="Times New Roman" w:cs="Times New Roman"/>
          <w:color w:val="000000" w:themeColor="text1"/>
          <w:sz w:val="24"/>
          <w:lang w:eastAsia="en-US"/>
        </w:rPr>
        <w:t xml:space="preserve">.6. </w:t>
      </w:r>
      <w:r w:rsidRPr="006372C1">
        <w:rPr>
          <w:rFonts w:ascii="Times New Roman" w:hAnsi="Times New Roman" w:cs="Times New Roman"/>
          <w:color w:val="000000" w:themeColor="text1"/>
          <w:sz w:val="24"/>
        </w:rPr>
        <w:t>prievolių įvykdymo užtikrinimas;</w:t>
      </w:r>
    </w:p>
    <w:p w:rsidR="002C566E" w:rsidRPr="006372C1" w:rsidRDefault="002C566E"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.7. ginčų sprendimo tvarka;</w:t>
      </w:r>
    </w:p>
    <w:p w:rsidR="002C566E" w:rsidRPr="006372C1" w:rsidRDefault="002C566E"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.8. pirkimo sutarties nutraukimo tvarka;</w:t>
      </w:r>
    </w:p>
    <w:p w:rsidR="002C566E" w:rsidRPr="006372C1" w:rsidRDefault="002C566E" w:rsidP="00EF5218">
      <w:pPr>
        <w:widowControl/>
        <w:tabs>
          <w:tab w:val="left" w:pos="72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.9. pirkimo sutarties galiojimas;</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.10. jeigu sudaroma preliminarioji sutartis – jai būdingos nuostatos;</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8</w:t>
      </w:r>
      <w:r w:rsidR="006C2CDF"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xml:space="preserve">.11. subrangovai, </w:t>
      </w:r>
      <w:proofErr w:type="spellStart"/>
      <w:r w:rsidRPr="006372C1">
        <w:rPr>
          <w:rFonts w:ascii="Times New Roman" w:hAnsi="Times New Roman" w:cs="Times New Roman"/>
          <w:color w:val="000000" w:themeColor="text1"/>
          <w:sz w:val="24"/>
        </w:rPr>
        <w:t>subtiekėjai</w:t>
      </w:r>
      <w:proofErr w:type="spellEnd"/>
      <w:r w:rsidRPr="006372C1">
        <w:rPr>
          <w:rFonts w:ascii="Times New Roman" w:hAnsi="Times New Roman" w:cs="Times New Roman"/>
          <w:color w:val="000000" w:themeColor="text1"/>
          <w:sz w:val="24"/>
        </w:rPr>
        <w:t xml:space="preserve"> ar </w:t>
      </w:r>
      <w:proofErr w:type="spellStart"/>
      <w:r w:rsidRPr="006372C1">
        <w:rPr>
          <w:rFonts w:ascii="Times New Roman" w:hAnsi="Times New Roman" w:cs="Times New Roman"/>
          <w:color w:val="000000" w:themeColor="text1"/>
          <w:sz w:val="24"/>
        </w:rPr>
        <w:t>subteikėjai</w:t>
      </w:r>
      <w:proofErr w:type="spellEnd"/>
      <w:r w:rsidRPr="006372C1">
        <w:rPr>
          <w:rFonts w:ascii="Times New Roman" w:hAnsi="Times New Roman" w:cs="Times New Roman"/>
          <w:color w:val="000000" w:themeColor="text1"/>
          <w:sz w:val="24"/>
        </w:rPr>
        <w:t>, jeigu vykdant sutartį jie pasitelkiami, ir jų keitimo tvarka.</w:t>
      </w:r>
    </w:p>
    <w:p w:rsidR="002C566E" w:rsidRPr="006372C1" w:rsidRDefault="006C2CDF"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90</w:t>
      </w:r>
      <w:r w:rsidR="002C566E" w:rsidRPr="006372C1">
        <w:rPr>
          <w:rFonts w:ascii="Times New Roman" w:hAnsi="Times New Roman" w:cs="Times New Roman"/>
          <w:color w:val="000000" w:themeColor="text1"/>
          <w:sz w:val="24"/>
        </w:rPr>
        <w:t xml:space="preserve">. Pirkimo sutartis gali būti sudaroma žodžiu, kai prekių ar paslaugų pirkimo sutarties vertė yra mažesnė kaip </w:t>
      </w:r>
      <w:r w:rsidR="00EC7430" w:rsidRPr="006372C1">
        <w:rPr>
          <w:rFonts w:ascii="Times New Roman" w:hAnsi="Times New Roman" w:cs="Times New Roman"/>
          <w:color w:val="000000" w:themeColor="text1"/>
          <w:sz w:val="24"/>
        </w:rPr>
        <w:t>3</w:t>
      </w:r>
      <w:r w:rsidR="002C566E" w:rsidRPr="006372C1">
        <w:rPr>
          <w:rFonts w:ascii="Times New Roman" w:hAnsi="Times New Roman" w:cs="Times New Roman"/>
          <w:color w:val="000000" w:themeColor="text1"/>
          <w:sz w:val="24"/>
        </w:rPr>
        <w:t xml:space="preserve"> 000 </w:t>
      </w:r>
      <w:r w:rsidR="00EC7430" w:rsidRPr="006372C1">
        <w:rPr>
          <w:rFonts w:ascii="Times New Roman" w:hAnsi="Times New Roman" w:cs="Times New Roman"/>
          <w:color w:val="000000" w:themeColor="text1"/>
          <w:sz w:val="24"/>
        </w:rPr>
        <w:t>eurų</w:t>
      </w:r>
      <w:r w:rsidR="002C566E" w:rsidRPr="006372C1">
        <w:rPr>
          <w:rFonts w:ascii="Times New Roman" w:hAnsi="Times New Roman" w:cs="Times New Roman"/>
          <w:color w:val="000000" w:themeColor="text1"/>
          <w:sz w:val="24"/>
        </w:rPr>
        <w:t xml:space="preserve"> (be </w:t>
      </w:r>
      <w:r w:rsidR="00EC7430" w:rsidRPr="006372C1">
        <w:rPr>
          <w:rFonts w:ascii="Times New Roman" w:hAnsi="Times New Roman" w:cs="Times New Roman"/>
          <w:color w:val="000000" w:themeColor="text1"/>
          <w:sz w:val="24"/>
        </w:rPr>
        <w:t>pridėtinės vertės mokesčio</w:t>
      </w:r>
      <w:r w:rsidR="002C566E" w:rsidRPr="006372C1">
        <w:rPr>
          <w:rFonts w:ascii="Times New Roman" w:hAnsi="Times New Roman" w:cs="Times New Roman"/>
          <w:color w:val="000000" w:themeColor="text1"/>
          <w:sz w:val="24"/>
        </w:rPr>
        <w:t>) ir sutartinių įsipareigojimų vykdymas nėra užtikrinamas CK nustatytais prievolių įvykdymo užtikrinimo būdais.</w:t>
      </w:r>
    </w:p>
    <w:p w:rsidR="002C566E" w:rsidRPr="006372C1" w:rsidRDefault="006C2CDF"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91</w:t>
      </w:r>
      <w:r w:rsidR="002C566E" w:rsidRPr="006372C1">
        <w:rPr>
          <w:rFonts w:ascii="Times New Roman" w:hAnsi="Times New Roman" w:cs="Times New Roman"/>
          <w:color w:val="000000" w:themeColor="text1"/>
          <w:sz w:val="24"/>
        </w:rPr>
        <w:t xml:space="preserve">. </w:t>
      </w:r>
      <w:r w:rsidR="00EE65E7" w:rsidRPr="006372C1">
        <w:rPr>
          <w:rFonts w:ascii="Times New Roman" w:hAnsi="Times New Roman"/>
          <w:color w:val="000000" w:themeColor="text1"/>
          <w:sz w:val="24"/>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w:t>
      </w:r>
      <w:r w:rsidR="00EE65E7" w:rsidRPr="006372C1">
        <w:rPr>
          <w:rFonts w:ascii="Times New Roman" w:hAnsi="Times New Roman"/>
          <w:bCs/>
          <w:color w:val="000000" w:themeColor="text1"/>
          <w:sz w:val="24"/>
        </w:rPr>
        <w:t xml:space="preserve">Prašymą </w:t>
      </w:r>
      <w:r w:rsidR="00EE65E7" w:rsidRPr="006372C1">
        <w:rPr>
          <w:rFonts w:ascii="Times New Roman" w:hAnsi="Times New Roman"/>
          <w:color w:val="000000" w:themeColor="text1"/>
          <w:sz w:val="24"/>
        </w:rPr>
        <w:t xml:space="preserve">dėl sutikimo pakeisti pirkimo sutarties sąlygas sutarties galiojimo laikotarpiu </w:t>
      </w:r>
      <w:r w:rsidR="00EE65E7" w:rsidRPr="006372C1">
        <w:rPr>
          <w:rFonts w:ascii="Times New Roman" w:hAnsi="Times New Roman"/>
          <w:bCs/>
          <w:color w:val="000000" w:themeColor="text1"/>
          <w:sz w:val="24"/>
        </w:rPr>
        <w:t xml:space="preserve">rengia ir perkančiosios organizacijos vadovui ar jo įgaliotam asmeniui pasirašius Viešųjų pirkimų tarnybai teikia </w:t>
      </w:r>
      <w:r w:rsidR="00EE65E7" w:rsidRPr="006372C1">
        <w:rPr>
          <w:rFonts w:ascii="Times New Roman" w:hAnsi="Times New Roman"/>
          <w:color w:val="000000" w:themeColor="text1"/>
          <w:sz w:val="24"/>
        </w:rPr>
        <w:t>pirkimo iniciatorius, vadovaujasi Viešojo pirkimo-pardavimo sutarčių sąlygų keitimo rekomendacijomis, patvirtintomis Viešųjų pirkimų direktoriaus 2009 m. gegužės 5 d. įsakymu Nr. 1S-43 ,,Dėl. Viešojo pirkimo-pardavimo sutarčių sąlygų keitimo rekomendacijų patvirtinimo.</w:t>
      </w:r>
    </w:p>
    <w:p w:rsidR="006B5209" w:rsidRPr="006372C1" w:rsidRDefault="006C2CDF"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92</w:t>
      </w:r>
      <w:r w:rsidR="00054662" w:rsidRPr="006372C1">
        <w:rPr>
          <w:rFonts w:ascii="Times New Roman" w:hAnsi="Times New Roman" w:cs="Times New Roman"/>
          <w:color w:val="000000" w:themeColor="text1"/>
          <w:sz w:val="24"/>
        </w:rPr>
        <w:t>.</w:t>
      </w:r>
      <w:r w:rsidR="006372C1" w:rsidRPr="006372C1">
        <w:rPr>
          <w:rFonts w:ascii="Times New Roman" w:hAnsi="Times New Roman" w:cs="Times New Roman"/>
          <w:color w:val="000000" w:themeColor="text1"/>
          <w:sz w:val="24"/>
        </w:rPr>
        <w:t xml:space="preserve"> </w:t>
      </w:r>
      <w:r w:rsidR="00054662" w:rsidRPr="006372C1">
        <w:rPr>
          <w:rFonts w:ascii="Times New Roman" w:hAnsi="Times New Roman" w:cs="Times New Roman"/>
          <w:color w:val="000000" w:themeColor="text1"/>
          <w:sz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rsidR="001738EA" w:rsidRPr="006372C1">
        <w:rPr>
          <w:rFonts w:ascii="Times New Roman" w:hAnsi="Times New Roman" w:cs="Times New Roman"/>
          <w:color w:val="000000" w:themeColor="text1"/>
          <w:sz w:val="24"/>
        </w:rPr>
        <w:t xml:space="preserve"> </w:t>
      </w:r>
    </w:p>
    <w:p w:rsidR="006B5209" w:rsidRPr="006372C1" w:rsidRDefault="006B5209" w:rsidP="00EF5218">
      <w:pPr>
        <w:widowControl/>
        <w:tabs>
          <w:tab w:val="left" w:pos="566"/>
        </w:tabs>
        <w:jc w:val="both"/>
        <w:rPr>
          <w:rFonts w:ascii="Times New Roman" w:hAnsi="Times New Roman" w:cs="Times New Roman"/>
          <w:color w:val="000000" w:themeColor="text1"/>
          <w:sz w:val="24"/>
        </w:rPr>
      </w:pPr>
    </w:p>
    <w:p w:rsidR="006B5209" w:rsidRPr="006372C1" w:rsidRDefault="006B5209" w:rsidP="00EF5218">
      <w:pPr>
        <w:widowControl/>
        <w:tabs>
          <w:tab w:val="left" w:pos="566"/>
        </w:tabs>
        <w:jc w:val="both"/>
        <w:rPr>
          <w:rFonts w:ascii="Times New Roman" w:hAnsi="Times New Roman" w:cs="Times New Roman"/>
          <w:color w:val="000000" w:themeColor="text1"/>
          <w:sz w:val="24"/>
        </w:rPr>
      </w:pPr>
    </w:p>
    <w:p w:rsidR="002C566E" w:rsidRPr="006372C1" w:rsidRDefault="002C566E" w:rsidP="00EF5218">
      <w:pPr>
        <w:widowControl/>
        <w:jc w:val="both"/>
        <w:rPr>
          <w:rFonts w:ascii="Times New Roman" w:hAnsi="Times New Roman" w:cs="Times New Roman"/>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X.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PRELIMINARIOJI SUTARTIS</w:t>
      </w:r>
    </w:p>
    <w:p w:rsidR="002C566E" w:rsidRPr="006372C1" w:rsidRDefault="002C566E" w:rsidP="00EF5218">
      <w:pPr>
        <w:widowControl/>
        <w:tabs>
          <w:tab w:val="left" w:pos="566"/>
        </w:tabs>
        <w:jc w:val="both"/>
        <w:rPr>
          <w:rFonts w:ascii="Times New Roman" w:hAnsi="Times New Roman" w:cs="Times New Roman"/>
          <w:color w:val="000000" w:themeColor="text1"/>
          <w:sz w:val="24"/>
        </w:rPr>
      </w:pPr>
    </w:p>
    <w:p w:rsidR="002C566E" w:rsidRPr="006372C1" w:rsidRDefault="006C2CDF"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93</w:t>
      </w:r>
      <w:r w:rsidR="002C566E" w:rsidRPr="006372C1">
        <w:rPr>
          <w:rFonts w:ascii="Times New Roman" w:hAnsi="Times New Roman" w:cs="Times New Roman"/>
          <w:color w:val="000000" w:themeColor="text1"/>
          <w:sz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2C566E" w:rsidRPr="006372C1" w:rsidRDefault="006C2CDF"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94</w:t>
      </w:r>
      <w:r w:rsidR="002C566E" w:rsidRPr="006372C1">
        <w:rPr>
          <w:rFonts w:ascii="Times New Roman" w:hAnsi="Times New Roman" w:cs="Times New Roman"/>
          <w:color w:val="000000" w:themeColor="text1"/>
          <w:sz w:val="24"/>
        </w:rPr>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sidR="00EE65E7" w:rsidRPr="006372C1">
        <w:rPr>
          <w:rFonts w:ascii="Times New Roman" w:hAnsi="Times New Roman" w:cs="Times New Roman"/>
          <w:color w:val="000000" w:themeColor="text1"/>
          <w:sz w:val="24"/>
        </w:rPr>
        <w:t>3 000</w:t>
      </w:r>
      <w:r w:rsidR="002C566E" w:rsidRPr="006372C1">
        <w:rPr>
          <w:rFonts w:ascii="Times New Roman" w:hAnsi="Times New Roman" w:cs="Times New Roman"/>
          <w:color w:val="000000" w:themeColor="text1"/>
          <w:sz w:val="24"/>
        </w:rPr>
        <w:t xml:space="preserve"> </w:t>
      </w:r>
      <w:r w:rsidR="00EE65E7" w:rsidRPr="006372C1">
        <w:rPr>
          <w:rFonts w:ascii="Times New Roman" w:hAnsi="Times New Roman" w:cs="Times New Roman"/>
          <w:color w:val="000000" w:themeColor="text1"/>
          <w:sz w:val="24"/>
        </w:rPr>
        <w:t>eurų</w:t>
      </w:r>
      <w:r w:rsidR="002C566E" w:rsidRPr="006372C1">
        <w:rPr>
          <w:rFonts w:ascii="Times New Roman" w:hAnsi="Times New Roman" w:cs="Times New Roman"/>
          <w:color w:val="000000" w:themeColor="text1"/>
          <w:sz w:val="24"/>
        </w:rPr>
        <w:t xml:space="preserve"> (be pridėtinės vertės mokesčio), gali būti sudaroma žodžiu. Tuo atveju, kai pagrindinė sutartis sudaroma žodžiu, Taisyklių </w:t>
      </w:r>
      <w:r w:rsidR="005167E5" w:rsidRPr="006372C1">
        <w:rPr>
          <w:rFonts w:ascii="Times New Roman" w:hAnsi="Times New Roman" w:cs="Times New Roman"/>
          <w:color w:val="000000" w:themeColor="text1"/>
          <w:sz w:val="24"/>
        </w:rPr>
        <w:t>97</w:t>
      </w:r>
      <w:r w:rsidR="002C566E" w:rsidRPr="006372C1">
        <w:rPr>
          <w:rFonts w:ascii="Times New Roman" w:hAnsi="Times New Roman" w:cs="Times New Roman"/>
          <w:color w:val="000000" w:themeColor="text1"/>
          <w:sz w:val="24"/>
        </w:rPr>
        <w:t xml:space="preserve"> ir </w:t>
      </w:r>
      <w:r w:rsidR="005167E5" w:rsidRPr="006372C1">
        <w:rPr>
          <w:rFonts w:ascii="Times New Roman" w:hAnsi="Times New Roman" w:cs="Times New Roman"/>
          <w:color w:val="000000" w:themeColor="text1"/>
          <w:sz w:val="24"/>
        </w:rPr>
        <w:t>98</w:t>
      </w:r>
      <w:r w:rsidR="002C566E" w:rsidRPr="006372C1">
        <w:rPr>
          <w:rFonts w:ascii="Times New Roman" w:hAnsi="Times New Roman" w:cs="Times New Roman"/>
          <w:color w:val="000000" w:themeColor="text1"/>
          <w:sz w:val="24"/>
        </w:rPr>
        <w:t xml:space="preserve"> punktuose nustatytas bendravimas su tiekėjais gali būti vykdomas žodžiu.</w:t>
      </w:r>
    </w:p>
    <w:p w:rsidR="002C566E" w:rsidRPr="006372C1" w:rsidRDefault="006C2CDF"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95</w:t>
      </w:r>
      <w:r w:rsidR="002C566E" w:rsidRPr="006372C1">
        <w:rPr>
          <w:rFonts w:ascii="Times New Roman" w:hAnsi="Times New Roman" w:cs="Times New Roman"/>
          <w:color w:val="000000" w:themeColor="text1"/>
          <w:sz w:val="24"/>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w:t>
      </w:r>
      <w:r w:rsidR="002C566E" w:rsidRPr="006372C1">
        <w:rPr>
          <w:rFonts w:ascii="Times New Roman" w:hAnsi="Times New Roman" w:cs="Times New Roman"/>
          <w:color w:val="000000" w:themeColor="text1"/>
          <w:sz w:val="24"/>
        </w:rPr>
        <w:lastRenderedPageBreak/>
        <w:t>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2C566E" w:rsidRPr="006372C1" w:rsidRDefault="006C2CDF"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96</w:t>
      </w:r>
      <w:r w:rsidR="002C566E" w:rsidRPr="006372C1">
        <w:rPr>
          <w:rFonts w:ascii="Times New Roman" w:hAnsi="Times New Roman" w:cs="Times New Roman"/>
          <w:color w:val="000000" w:themeColor="text1"/>
          <w:sz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C566E" w:rsidRPr="006372C1" w:rsidRDefault="006C2CDF"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97</w:t>
      </w:r>
      <w:r w:rsidR="002C566E" w:rsidRPr="006372C1">
        <w:rPr>
          <w:rFonts w:ascii="Times New Roman" w:hAnsi="Times New Roman" w:cs="Times New Roman"/>
          <w:color w:val="000000" w:themeColor="text1"/>
          <w:sz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C566E" w:rsidRPr="006372C1" w:rsidRDefault="006C2CDF"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98</w:t>
      </w:r>
      <w:r w:rsidR="002C566E" w:rsidRPr="006372C1">
        <w:rPr>
          <w:rFonts w:ascii="Times New Roman" w:hAnsi="Times New Roman" w:cs="Times New Roman"/>
          <w:color w:val="000000" w:themeColor="text1"/>
          <w:sz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C566E" w:rsidRPr="006372C1" w:rsidRDefault="002C566E"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9</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2C566E" w:rsidRPr="006372C1" w:rsidRDefault="00093B83"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100</w:t>
      </w:r>
      <w:r w:rsidR="002C566E" w:rsidRPr="006372C1">
        <w:rPr>
          <w:rFonts w:ascii="Times New Roman" w:hAnsi="Times New Roman" w:cs="Times New Roman"/>
          <w:color w:val="000000" w:themeColor="text1"/>
          <w:sz w:val="24"/>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w:t>
      </w:r>
      <w:r w:rsidR="005167E5" w:rsidRPr="006372C1">
        <w:rPr>
          <w:rFonts w:ascii="Times New Roman" w:hAnsi="Times New Roman" w:cs="Times New Roman"/>
          <w:color w:val="000000" w:themeColor="text1"/>
          <w:sz w:val="24"/>
        </w:rPr>
        <w:t>101</w:t>
      </w:r>
      <w:r w:rsidR="002C566E" w:rsidRPr="006372C1">
        <w:rPr>
          <w:rFonts w:ascii="Times New Roman" w:hAnsi="Times New Roman" w:cs="Times New Roman"/>
          <w:color w:val="000000" w:themeColor="text1"/>
          <w:sz w:val="24"/>
        </w:rPr>
        <w:t xml:space="preserve"> punkte nurodyta tvarka.</w:t>
      </w:r>
    </w:p>
    <w:p w:rsidR="002C566E" w:rsidRPr="006372C1" w:rsidRDefault="00093B83"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101</w:t>
      </w:r>
      <w:r w:rsidR="002C566E" w:rsidRPr="006372C1">
        <w:rPr>
          <w:rFonts w:ascii="Times New Roman" w:hAnsi="Times New Roman" w:cs="Times New Roman"/>
          <w:color w:val="000000" w:themeColor="text1"/>
          <w:sz w:val="24"/>
        </w:rPr>
        <w:t>. Atnaujindama tiekėjų varžymąsi, perkančioji organizacija:</w:t>
      </w:r>
    </w:p>
    <w:p w:rsidR="002C566E" w:rsidRPr="006372C1" w:rsidRDefault="00093B83" w:rsidP="00EF5218">
      <w:pPr>
        <w:widowControl/>
        <w:tabs>
          <w:tab w:val="left" w:pos="68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101</w:t>
      </w:r>
      <w:r w:rsidR="002C566E" w:rsidRPr="006372C1">
        <w:rPr>
          <w:rFonts w:ascii="Times New Roman" w:hAnsi="Times New Roman" w:cs="Times New Roman"/>
          <w:color w:val="000000" w:themeColor="text1"/>
          <w:sz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C566E" w:rsidRPr="006372C1" w:rsidRDefault="00093B83" w:rsidP="00EF5218">
      <w:pPr>
        <w:widowControl/>
        <w:tabs>
          <w:tab w:val="left" w:pos="68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101</w:t>
      </w:r>
      <w:r w:rsidR="002C566E" w:rsidRPr="006372C1">
        <w:rPr>
          <w:rFonts w:ascii="Times New Roman" w:hAnsi="Times New Roman" w:cs="Times New Roman"/>
          <w:color w:val="000000" w:themeColor="text1"/>
          <w:sz w:val="24"/>
        </w:rPr>
        <w:t xml:space="preserve">.2. </w:t>
      </w:r>
      <w:r w:rsidR="006B5209" w:rsidRPr="006372C1">
        <w:rPr>
          <w:rFonts w:ascii="Times New Roman" w:hAnsi="Times New Roman" w:cs="Times New Roman"/>
          <w:color w:val="000000" w:themeColor="text1"/>
          <w:sz w:val="24"/>
        </w:rPr>
        <w:t xml:space="preserve">užtikrina, kad pasiūlymai išliktų konfidencialūs iki jų pateikimo termino pabaigos; </w:t>
      </w:r>
      <w:r w:rsidR="002C566E" w:rsidRPr="006372C1">
        <w:rPr>
          <w:rFonts w:ascii="Times New Roman" w:hAnsi="Times New Roman" w:cs="Times New Roman"/>
          <w:color w:val="000000" w:themeColor="text1"/>
          <w:sz w:val="24"/>
        </w:rPr>
        <w:t>išrenka geriausią pasiūlymą pateikusį tiekėją, vadovaudamasi preliminariojoje sutartyje nustatytais pasiūlymų vertinimo kriterijais, ir su šį pasiūlymą pateikusiu tiekėju sudaro pagrindinę sutartį.</w:t>
      </w:r>
    </w:p>
    <w:p w:rsidR="002C566E" w:rsidRPr="006372C1" w:rsidRDefault="00093B83"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102</w:t>
      </w:r>
      <w:r w:rsidR="002C566E" w:rsidRPr="006372C1">
        <w:rPr>
          <w:rFonts w:ascii="Times New Roman" w:hAnsi="Times New Roman" w:cs="Times New Roman"/>
          <w:color w:val="000000" w:themeColor="text1"/>
          <w:sz w:val="24"/>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D72C6D" w:rsidRPr="006372C1" w:rsidRDefault="00D72C6D" w:rsidP="00EF5218">
      <w:pPr>
        <w:widowControl/>
        <w:tabs>
          <w:tab w:val="left" w:pos="566"/>
        </w:tabs>
        <w:jc w:val="both"/>
        <w:rPr>
          <w:rFonts w:ascii="Times New Roman" w:hAnsi="Times New Roman" w:cs="Times New Roman"/>
          <w:color w:val="000000" w:themeColor="text1"/>
          <w:sz w:val="24"/>
        </w:rPr>
      </w:pPr>
    </w:p>
    <w:p w:rsidR="002C566E" w:rsidRPr="006372C1" w:rsidRDefault="002C566E" w:rsidP="00EF5218">
      <w:pPr>
        <w:widowControl/>
        <w:jc w:val="both"/>
        <w:rPr>
          <w:rFonts w:ascii="Times New Roman" w:hAnsi="Times New Roman" w:cs="Times New Roman"/>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XI.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SUPAPRASTINTŲ PIRKIMŲ BŪDAI </w:t>
      </w:r>
    </w:p>
    <w:p w:rsidR="002C566E" w:rsidRPr="006372C1" w:rsidRDefault="002C566E" w:rsidP="00EF5218">
      <w:pPr>
        <w:widowControl/>
        <w:tabs>
          <w:tab w:val="left" w:pos="566"/>
        </w:tabs>
        <w:jc w:val="both"/>
        <w:rPr>
          <w:rFonts w:ascii="Times New Roman" w:hAnsi="Times New Roman" w:cs="Times New Roman"/>
          <w:color w:val="000000" w:themeColor="text1"/>
          <w:sz w:val="24"/>
        </w:rPr>
      </w:pPr>
    </w:p>
    <w:p w:rsidR="002C566E" w:rsidRPr="006372C1" w:rsidRDefault="00093B83"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103</w:t>
      </w:r>
      <w:r w:rsidR="002C566E" w:rsidRPr="006372C1">
        <w:rPr>
          <w:rFonts w:ascii="Times New Roman" w:hAnsi="Times New Roman" w:cs="Times New Roman"/>
          <w:color w:val="000000" w:themeColor="text1"/>
          <w:sz w:val="24"/>
        </w:rPr>
        <w:t>. Supaprastinti pirkimai atliekami šiais būdais:</w:t>
      </w:r>
    </w:p>
    <w:p w:rsidR="002C566E" w:rsidRPr="006372C1" w:rsidRDefault="00093B83"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103</w:t>
      </w:r>
      <w:r w:rsidR="002C566E" w:rsidRPr="006372C1">
        <w:rPr>
          <w:rFonts w:ascii="Times New Roman" w:hAnsi="Times New Roman" w:cs="Times New Roman"/>
          <w:color w:val="000000" w:themeColor="text1"/>
          <w:sz w:val="24"/>
        </w:rPr>
        <w:t>.1. supaprastinto atviro konkurso;</w:t>
      </w:r>
    </w:p>
    <w:p w:rsidR="002C566E" w:rsidRPr="006372C1" w:rsidRDefault="00093B83"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103</w:t>
      </w:r>
      <w:r w:rsidR="002C566E" w:rsidRPr="006372C1">
        <w:rPr>
          <w:rFonts w:ascii="Times New Roman" w:hAnsi="Times New Roman" w:cs="Times New Roman"/>
          <w:color w:val="000000" w:themeColor="text1"/>
          <w:sz w:val="24"/>
        </w:rPr>
        <w:t>.2. supaprastintų skelbiamų derybų;</w:t>
      </w:r>
    </w:p>
    <w:p w:rsidR="002C566E" w:rsidRPr="006372C1" w:rsidRDefault="00093B83"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103</w:t>
      </w:r>
      <w:r w:rsidR="002C566E" w:rsidRPr="006372C1">
        <w:rPr>
          <w:rFonts w:ascii="Times New Roman" w:hAnsi="Times New Roman" w:cs="Times New Roman"/>
          <w:color w:val="000000" w:themeColor="text1"/>
          <w:sz w:val="24"/>
        </w:rPr>
        <w:t>.3. apklausos;</w:t>
      </w:r>
    </w:p>
    <w:p w:rsidR="002C566E" w:rsidRPr="006372C1" w:rsidRDefault="00093B83" w:rsidP="00EF5218">
      <w:pPr>
        <w:widowControl/>
        <w:tabs>
          <w:tab w:val="left" w:pos="725"/>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103</w:t>
      </w:r>
      <w:r w:rsidR="002C566E" w:rsidRPr="006372C1">
        <w:rPr>
          <w:rFonts w:ascii="Times New Roman" w:hAnsi="Times New Roman" w:cs="Times New Roman"/>
          <w:color w:val="000000" w:themeColor="text1"/>
          <w:sz w:val="24"/>
        </w:rPr>
        <w:t>.4. supaprastinto projekto konkurso.</w:t>
      </w:r>
    </w:p>
    <w:p w:rsidR="002C566E" w:rsidRPr="006372C1" w:rsidRDefault="00093B83" w:rsidP="00EF5218">
      <w:pPr>
        <w:widowControl/>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104</w:t>
      </w:r>
      <w:r w:rsidR="002C566E" w:rsidRPr="006372C1">
        <w:rPr>
          <w:rFonts w:ascii="Times New Roman" w:hAnsi="Times New Roman" w:cs="Times New Roman"/>
          <w:color w:val="000000" w:themeColor="text1"/>
          <w:sz w:val="24"/>
        </w:rPr>
        <w:t>. Pirkimas supaprastinto atviro ar supaprastintų skelbiamų derybų būdu gali būti atliktas visais atvejais, tinkamai apie jį paskelbus.</w:t>
      </w:r>
    </w:p>
    <w:p w:rsidR="002C566E" w:rsidRPr="006372C1" w:rsidRDefault="00093B83" w:rsidP="003D49BC">
      <w:pPr>
        <w:tabs>
          <w:tab w:val="left" w:pos="56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lastRenderedPageBreak/>
        <w:t>105</w:t>
      </w:r>
      <w:r w:rsidR="002C566E" w:rsidRPr="006372C1">
        <w:rPr>
          <w:rFonts w:ascii="Times New Roman" w:hAnsi="Times New Roman" w:cs="Times New Roman"/>
          <w:color w:val="000000" w:themeColor="text1"/>
          <w:sz w:val="24"/>
        </w:rPr>
        <w:t>. Perkančioji organizacija, atlikdama supaprastintus pirkimus gali taikyti elektronines procedūras – elektroninį aukcioną</w:t>
      </w:r>
      <w:r w:rsidR="006B5209" w:rsidRPr="006372C1">
        <w:rPr>
          <w:rFonts w:ascii="Times New Roman" w:hAnsi="Times New Roman" w:cs="Times New Roman"/>
          <w:color w:val="000000" w:themeColor="text1"/>
          <w:sz w:val="24"/>
        </w:rPr>
        <w:t xml:space="preserve"> ir dinaminę pirkimų sistemą</w:t>
      </w:r>
      <w:r w:rsidR="00BC2E28" w:rsidRPr="006372C1">
        <w:rPr>
          <w:rFonts w:ascii="Times New Roman" w:hAnsi="Times New Roman" w:cs="Times New Roman"/>
          <w:color w:val="000000" w:themeColor="text1"/>
          <w:sz w:val="24"/>
        </w:rPr>
        <w:t xml:space="preserve"> vadovaudamasi Viešųjų pirkimų įstatymo 64-65 straipsniais. </w:t>
      </w:r>
      <w:r w:rsidR="002C566E" w:rsidRPr="006372C1">
        <w:rPr>
          <w:rFonts w:ascii="Times New Roman" w:hAnsi="Times New Roman" w:cs="Times New Roman"/>
          <w:color w:val="000000" w:themeColor="text1"/>
          <w:sz w:val="24"/>
        </w:rPr>
        <w:t xml:space="preserve"> Perkančioji organizacija elektroninį aukcioną gali taikyti vykdydama supaprastintą pirkimą supaprastinto atviro konkurso ar apklausos būdais. Elektroninis aukcionas taip pat gali būti taikomas atnaujinant varžymąsi tarp preliminariosios sutarties šalių, kai preliminarioji sutartis sudaryta su keliais tiekėjais, ar sudarant pirkimo sutartį pagal dinaminę pirkimo sistemą.</w:t>
      </w:r>
    </w:p>
    <w:p w:rsidR="0068441E" w:rsidRPr="006372C1" w:rsidRDefault="0068441E" w:rsidP="003D49BC">
      <w:pPr>
        <w:tabs>
          <w:tab w:val="left" w:pos="566"/>
        </w:tabs>
        <w:jc w:val="both"/>
        <w:rPr>
          <w:rFonts w:ascii="Times New Roman" w:hAnsi="Times New Roman" w:cs="Times New Roman"/>
          <w:color w:val="000000" w:themeColor="text1"/>
          <w:sz w:val="24"/>
        </w:rPr>
      </w:pPr>
    </w:p>
    <w:p w:rsidR="0068441E" w:rsidRPr="006372C1" w:rsidRDefault="0068441E" w:rsidP="003D49BC">
      <w:pPr>
        <w:tabs>
          <w:tab w:val="left" w:pos="566"/>
        </w:tabs>
        <w:jc w:val="both"/>
        <w:rPr>
          <w:color w:val="000000" w:themeColor="text1"/>
        </w:rPr>
      </w:pPr>
    </w:p>
    <w:p w:rsidR="002C566E" w:rsidRPr="006372C1" w:rsidRDefault="002C566E" w:rsidP="00EF5218">
      <w:pPr>
        <w:widowControl/>
        <w:tabs>
          <w:tab w:val="left" w:pos="298"/>
        </w:tabs>
        <w:jc w:val="both"/>
        <w:rPr>
          <w:rFonts w:ascii="Times New Roman" w:hAnsi="Times New Roman" w:cs="Times New Roman"/>
          <w:color w:val="000000" w:themeColor="text1"/>
          <w:sz w:val="24"/>
        </w:rPr>
      </w:pPr>
    </w:p>
    <w:p w:rsidR="000F6799" w:rsidRDefault="002C566E" w:rsidP="00EF5218">
      <w:pPr>
        <w:widowControl/>
        <w:tabs>
          <w:tab w:val="left" w:pos="298"/>
        </w:tabs>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XII.</w:t>
      </w:r>
      <w:r w:rsidR="000F6799">
        <w:rPr>
          <w:rFonts w:ascii="Times New Roman" w:hAnsi="Times New Roman" w:cs="Times New Roman"/>
          <w:b/>
          <w:color w:val="000000" w:themeColor="text1"/>
          <w:sz w:val="24"/>
        </w:rPr>
        <w:t xml:space="preserve"> SKYRIUS</w:t>
      </w:r>
    </w:p>
    <w:p w:rsidR="002C566E" w:rsidRPr="006372C1" w:rsidRDefault="002C566E" w:rsidP="00EF5218">
      <w:pPr>
        <w:widowControl/>
        <w:tabs>
          <w:tab w:val="left" w:pos="298"/>
        </w:tabs>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 SUPAPRASTINTAS ATVIRAS KONKURSAS</w:t>
      </w:r>
    </w:p>
    <w:p w:rsidR="002C566E" w:rsidRPr="006372C1" w:rsidRDefault="002C566E" w:rsidP="00EF5218">
      <w:pPr>
        <w:widowControl/>
        <w:tabs>
          <w:tab w:val="left" w:pos="571"/>
        </w:tabs>
        <w:jc w:val="both"/>
        <w:rPr>
          <w:rFonts w:ascii="Times New Roman" w:hAnsi="Times New Roman" w:cs="Times New Roman"/>
          <w:color w:val="000000" w:themeColor="text1"/>
          <w:sz w:val="24"/>
        </w:rPr>
      </w:pPr>
    </w:p>
    <w:p w:rsidR="002C566E" w:rsidRPr="006372C1" w:rsidRDefault="00093B83" w:rsidP="00EF5218">
      <w:pPr>
        <w:widowControl/>
        <w:tabs>
          <w:tab w:val="left" w:pos="57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106</w:t>
      </w:r>
      <w:r w:rsidR="002C566E" w:rsidRPr="006372C1">
        <w:rPr>
          <w:rFonts w:ascii="Times New Roman" w:hAnsi="Times New Roman" w:cs="Times New Roman"/>
          <w:color w:val="000000" w:themeColor="text1"/>
          <w:sz w:val="24"/>
        </w:rPr>
        <w:t>. Vykdant supaprastintą atvirą konkursą, dalyvių skaičius neribojamas. Apie pirkimą skelbiama Viešųjų pirkimų įstatyme ir Taisyklių 2</w:t>
      </w:r>
      <w:r w:rsidR="004E2EE3" w:rsidRPr="006372C1">
        <w:rPr>
          <w:rFonts w:ascii="Times New Roman" w:hAnsi="Times New Roman" w:cs="Times New Roman"/>
          <w:color w:val="000000" w:themeColor="text1"/>
          <w:sz w:val="24"/>
        </w:rPr>
        <w:t>6</w:t>
      </w:r>
      <w:r w:rsidR="002C566E" w:rsidRPr="006372C1">
        <w:rPr>
          <w:rFonts w:ascii="Times New Roman" w:hAnsi="Times New Roman" w:cs="Times New Roman"/>
          <w:color w:val="000000" w:themeColor="text1"/>
          <w:sz w:val="24"/>
        </w:rPr>
        <w:t xml:space="preserve"> punkte nustatyta tvarka.</w:t>
      </w:r>
    </w:p>
    <w:p w:rsidR="002C566E" w:rsidRPr="006372C1" w:rsidRDefault="00093B83" w:rsidP="00EF5218">
      <w:pPr>
        <w:widowControl/>
        <w:tabs>
          <w:tab w:val="left" w:pos="57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107</w:t>
      </w:r>
      <w:r w:rsidR="002C566E" w:rsidRPr="006372C1">
        <w:rPr>
          <w:rFonts w:ascii="Times New Roman" w:hAnsi="Times New Roman" w:cs="Times New Roman"/>
          <w:color w:val="000000" w:themeColor="text1"/>
          <w:sz w:val="24"/>
        </w:rPr>
        <w:t>. Supaprastintame atvirame konkurse derybos tarp perkančiosios organizacijos ir dalyvių yra draudžiamos.</w:t>
      </w:r>
    </w:p>
    <w:p w:rsidR="002C566E" w:rsidRPr="006372C1" w:rsidRDefault="00093B83" w:rsidP="00EF5218">
      <w:pPr>
        <w:widowControl/>
        <w:tabs>
          <w:tab w:val="left" w:pos="57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108</w:t>
      </w:r>
      <w:r w:rsidR="002C566E" w:rsidRPr="006372C1">
        <w:rPr>
          <w:rFonts w:ascii="Times New Roman" w:hAnsi="Times New Roman" w:cs="Times New Roman"/>
          <w:color w:val="000000" w:themeColor="text1"/>
          <w:sz w:val="24"/>
        </w:rPr>
        <w:t>. Pasiūlymų pateikimo terminas negali būti trumpesnis kaip 7 darbo dienos nuo skelbimo apie supaprastintą pirkimą paskelbimo CVP IS.</w:t>
      </w:r>
    </w:p>
    <w:p w:rsidR="002C566E" w:rsidRPr="006372C1" w:rsidRDefault="002C566E" w:rsidP="00EF5218">
      <w:pPr>
        <w:widowControl/>
        <w:tabs>
          <w:tab w:val="left" w:pos="57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10</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Jei supaprastinto atviro konkurso metu bus vykdomas elektroninis aukcionas, apie tai nurodoma skelbime apie supaprastintą pirkimą.</w:t>
      </w:r>
    </w:p>
    <w:p w:rsidR="002C566E" w:rsidRPr="006372C1" w:rsidRDefault="002C566E" w:rsidP="00EF5218">
      <w:pPr>
        <w:widowControl/>
        <w:tabs>
          <w:tab w:val="left" w:pos="341"/>
        </w:tabs>
        <w:jc w:val="both"/>
        <w:rPr>
          <w:rFonts w:ascii="Times New Roman" w:hAnsi="Times New Roman" w:cs="Times New Roman"/>
          <w:color w:val="000000" w:themeColor="text1"/>
          <w:sz w:val="24"/>
        </w:rPr>
      </w:pPr>
    </w:p>
    <w:p w:rsidR="002C566E" w:rsidRPr="006372C1" w:rsidRDefault="002C566E" w:rsidP="00EF5218">
      <w:pPr>
        <w:widowControl/>
        <w:jc w:val="both"/>
        <w:rPr>
          <w:rFonts w:ascii="Times New Roman" w:hAnsi="Times New Roman" w:cs="Times New Roman"/>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XIII.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SUPAPRASTINTOS SKELBIAMOS DERYBOS</w:t>
      </w:r>
    </w:p>
    <w:p w:rsidR="002C566E" w:rsidRPr="006372C1" w:rsidRDefault="002C566E" w:rsidP="00EF5218">
      <w:pPr>
        <w:widowControl/>
        <w:tabs>
          <w:tab w:val="left" w:pos="658"/>
        </w:tabs>
        <w:jc w:val="both"/>
        <w:rPr>
          <w:rFonts w:ascii="Times New Roman" w:hAnsi="Times New Roman" w:cs="Times New Roman"/>
          <w:color w:val="000000" w:themeColor="text1"/>
          <w:sz w:val="24"/>
        </w:rPr>
      </w:pPr>
    </w:p>
    <w:p w:rsidR="002C566E" w:rsidRPr="006372C1" w:rsidRDefault="002C566E" w:rsidP="00EF5218">
      <w:pPr>
        <w:widowControl/>
        <w:tabs>
          <w:tab w:val="left" w:pos="65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10</w:t>
      </w:r>
      <w:r w:rsidRPr="006372C1">
        <w:rPr>
          <w:rFonts w:ascii="Times New Roman" w:hAnsi="Times New Roman" w:cs="Times New Roman"/>
          <w:color w:val="000000" w:themeColor="text1"/>
          <w:sz w:val="24"/>
        </w:rPr>
        <w:t>. Vykdant supaprastintas skelbiamas derybas, apie supaprastintą pirkimą skelbiama Viešųjų pirkimų įstatyme ir Taisyklėse nustatyta tvarka.</w:t>
      </w:r>
    </w:p>
    <w:p w:rsidR="002C566E" w:rsidRPr="006372C1" w:rsidRDefault="002C566E" w:rsidP="00EF5218">
      <w:pPr>
        <w:widowControl/>
        <w:tabs>
          <w:tab w:val="left" w:pos="65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11</w:t>
      </w:r>
      <w:r w:rsidRPr="006372C1">
        <w:rPr>
          <w:rFonts w:ascii="Times New Roman" w:hAnsi="Times New Roman" w:cs="Times New Roman"/>
          <w:color w:val="000000" w:themeColor="text1"/>
          <w:sz w:val="24"/>
        </w:rPr>
        <w:t>. Supaprastintos skelbiamos derybos gali būti atliekamos:</w:t>
      </w:r>
    </w:p>
    <w:p w:rsidR="002C566E" w:rsidRPr="006372C1" w:rsidRDefault="002C566E" w:rsidP="00EF5218">
      <w:pPr>
        <w:widowControl/>
        <w:tabs>
          <w:tab w:val="left" w:pos="81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11</w:t>
      </w:r>
      <w:r w:rsidRPr="006372C1">
        <w:rPr>
          <w:rFonts w:ascii="Times New Roman" w:hAnsi="Times New Roman" w:cs="Times New Roman"/>
          <w:color w:val="000000" w:themeColor="text1"/>
          <w:sz w:val="24"/>
        </w:rPr>
        <w:t>.1. skelbime apie supaprastintą pirkimą kviečiant suinteresuotus tiekėjus pateikti pasiūlymus;</w:t>
      </w:r>
    </w:p>
    <w:p w:rsidR="002C566E" w:rsidRPr="006372C1" w:rsidRDefault="002C566E" w:rsidP="00EF5218">
      <w:pPr>
        <w:widowControl/>
        <w:tabs>
          <w:tab w:val="left" w:pos="81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11</w:t>
      </w:r>
      <w:r w:rsidRPr="006372C1">
        <w:rPr>
          <w:rFonts w:ascii="Times New Roman" w:hAnsi="Times New Roman" w:cs="Times New Roman"/>
          <w:color w:val="000000" w:themeColor="text1"/>
          <w:sz w:val="24"/>
        </w:rPr>
        <w:t>.2. skelbime apie supaprastintą pirkimą kviečiant suinteresuotus tiekėjus teikti paraiškas dalyvauti pirkime ir ribojant kandidatų, teiksiančių pasiūlymus, skaičių.</w:t>
      </w:r>
    </w:p>
    <w:p w:rsidR="002C566E" w:rsidRPr="006372C1" w:rsidRDefault="002C566E" w:rsidP="00EF5218">
      <w:pPr>
        <w:widowControl/>
        <w:tabs>
          <w:tab w:val="left" w:pos="65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12</w:t>
      </w:r>
      <w:r w:rsidRPr="006372C1">
        <w:rPr>
          <w:rFonts w:ascii="Times New Roman" w:hAnsi="Times New Roman" w:cs="Times New Roman"/>
          <w:color w:val="000000" w:themeColor="text1"/>
          <w:sz w:val="24"/>
        </w:rPr>
        <w:t>. Jei ribojamas kandidatų skaičius:</w:t>
      </w:r>
    </w:p>
    <w:p w:rsidR="002C566E" w:rsidRPr="006372C1" w:rsidRDefault="002C566E" w:rsidP="00EF5218">
      <w:pPr>
        <w:widowControl/>
        <w:tabs>
          <w:tab w:val="left" w:pos="79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12</w:t>
      </w:r>
      <w:r w:rsidRPr="006372C1">
        <w:rPr>
          <w:rFonts w:ascii="Times New Roman" w:hAnsi="Times New Roman" w:cs="Times New Roman"/>
          <w:color w:val="000000" w:themeColor="text1"/>
          <w:sz w:val="24"/>
        </w:rPr>
        <w:t>.1. vykdoma kvalifikacinė atranka. Perkančioji organizacija, nustatydama atrenkamų kandidatų skaičių, kvalifikacinės atrankos kriterijus ir tvarką, privalo laikytis šių reikalavimų:</w:t>
      </w:r>
    </w:p>
    <w:p w:rsidR="002C566E" w:rsidRPr="006372C1" w:rsidRDefault="002C566E" w:rsidP="00384461">
      <w:pPr>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12</w:t>
      </w:r>
      <w:r w:rsidRPr="006372C1">
        <w:rPr>
          <w:rFonts w:ascii="Times New Roman" w:hAnsi="Times New Roman" w:cs="Times New Roman"/>
          <w:color w:val="000000" w:themeColor="text1"/>
          <w:sz w:val="24"/>
        </w:rPr>
        <w:t>.1.1. turi būti užtikrinta reali konkurencija, kvalifikacinės atrankos kriterijai turi būti tikslūs, aiškūs ir nediskriminuojantys;</w:t>
      </w:r>
    </w:p>
    <w:p w:rsidR="002C566E" w:rsidRPr="006372C1" w:rsidRDefault="002C566E" w:rsidP="00384461">
      <w:pPr>
        <w:tabs>
          <w:tab w:val="left" w:pos="69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12</w:t>
      </w:r>
      <w:r w:rsidRPr="006372C1">
        <w:rPr>
          <w:rFonts w:ascii="Times New Roman" w:hAnsi="Times New Roman" w:cs="Times New Roman"/>
          <w:color w:val="000000" w:themeColor="text1"/>
          <w:sz w:val="24"/>
        </w:rPr>
        <w:t>.1.2. kvalifikacinės atrankos kriterijai turi būti nustatyti Viešųjų pirkimų įstatymo 35–38 straipsnių pagrindu;</w:t>
      </w:r>
    </w:p>
    <w:p w:rsidR="002C566E" w:rsidRPr="006372C1" w:rsidRDefault="002C566E" w:rsidP="00384461">
      <w:pPr>
        <w:tabs>
          <w:tab w:val="left" w:pos="57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12</w:t>
      </w:r>
      <w:r w:rsidRPr="006372C1">
        <w:rPr>
          <w:rFonts w:ascii="Times New Roman" w:hAnsi="Times New Roman" w:cs="Times New Roman"/>
          <w:color w:val="000000" w:themeColor="text1"/>
          <w:sz w:val="24"/>
        </w:rPr>
        <w:t>.1.3. kvalifikacinė atranka turi būti atliekama tik iš tų kandidatų, kurie atitinka perkančiosios organizacijos nustatytus minimalius kvalifikacijos reikalavimus.</w:t>
      </w:r>
    </w:p>
    <w:p w:rsidR="002C566E" w:rsidRPr="006372C1" w:rsidRDefault="002C566E" w:rsidP="00EF5218">
      <w:pPr>
        <w:widowControl/>
        <w:tabs>
          <w:tab w:val="left" w:pos="79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12</w:t>
      </w:r>
      <w:r w:rsidRPr="006372C1">
        <w:rPr>
          <w:rFonts w:ascii="Times New Roman" w:hAnsi="Times New Roman" w:cs="Times New Roman"/>
          <w:color w:val="000000" w:themeColor="text1"/>
          <w:sz w:val="24"/>
        </w:rPr>
        <w:t>.2. paraiškų pateikimo terminas negali būti trumpesnis nei 7 darbo dienos nuo skelbimo apie pirkimą paskelbimo CVP IS;</w:t>
      </w:r>
    </w:p>
    <w:p w:rsidR="002C566E" w:rsidRPr="006372C1" w:rsidRDefault="002C566E" w:rsidP="00EF5218">
      <w:pPr>
        <w:widowControl/>
        <w:tabs>
          <w:tab w:val="left" w:pos="79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12</w:t>
      </w:r>
      <w:r w:rsidRPr="006372C1">
        <w:rPr>
          <w:rFonts w:ascii="Times New Roman" w:hAnsi="Times New Roman" w:cs="Times New Roman"/>
          <w:color w:val="000000" w:themeColor="text1"/>
          <w:sz w:val="24"/>
        </w:rPr>
        <w:t>.3. pasiūlymų pateikimo terminas negali būti trumpesnis kaip 7 darbo dienos nuo paskelbimo apie supaprastintą pirkimą paskelbimo CVP IS;</w:t>
      </w:r>
    </w:p>
    <w:p w:rsidR="002C566E" w:rsidRPr="006372C1" w:rsidRDefault="002C566E" w:rsidP="00EF5218">
      <w:pPr>
        <w:widowControl/>
        <w:tabs>
          <w:tab w:val="left" w:pos="79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12</w:t>
      </w:r>
      <w:r w:rsidRPr="006372C1">
        <w:rPr>
          <w:rFonts w:ascii="Times New Roman" w:hAnsi="Times New Roman" w:cs="Times New Roman"/>
          <w:color w:val="000000" w:themeColor="text1"/>
          <w:sz w:val="24"/>
        </w:rPr>
        <w:t xml:space="preserve">.4.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w:t>
      </w:r>
      <w:r w:rsidRPr="006372C1">
        <w:rPr>
          <w:rFonts w:ascii="Times New Roman" w:hAnsi="Times New Roman" w:cs="Times New Roman"/>
          <w:color w:val="000000" w:themeColor="text1"/>
          <w:sz w:val="24"/>
        </w:rPr>
        <w:lastRenderedPageBreak/>
        <w:t>perkančioji organizacija negali kviesti dalyvauti pirkime kitų, paraiškų nepateikusių tiekėjų arba kandidatų, kurie neatitinka minimalių kvalifikacijos reikalavimų.</w:t>
      </w:r>
    </w:p>
    <w:p w:rsidR="002C566E" w:rsidRPr="006372C1" w:rsidRDefault="002C566E" w:rsidP="00EF5218">
      <w:pPr>
        <w:widowControl/>
        <w:tabs>
          <w:tab w:val="left" w:pos="65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13</w:t>
      </w:r>
      <w:r w:rsidRPr="006372C1">
        <w:rPr>
          <w:rFonts w:ascii="Times New Roman" w:hAnsi="Times New Roman" w:cs="Times New Roman"/>
          <w:color w:val="000000" w:themeColor="text1"/>
          <w:sz w:val="24"/>
        </w:rPr>
        <w:t>. Jei neribojamas kandidatų skaičius:</w:t>
      </w:r>
    </w:p>
    <w:p w:rsidR="002C566E" w:rsidRPr="006372C1" w:rsidRDefault="002C566E" w:rsidP="00EF5218">
      <w:pPr>
        <w:widowControl/>
        <w:tabs>
          <w:tab w:val="left" w:pos="80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13</w:t>
      </w:r>
      <w:r w:rsidRPr="006372C1">
        <w:rPr>
          <w:rFonts w:ascii="Times New Roman" w:hAnsi="Times New Roman" w:cs="Times New Roman"/>
          <w:color w:val="000000" w:themeColor="text1"/>
          <w:sz w:val="24"/>
        </w:rPr>
        <w:t>.1. pasiūlymus pateikti kviečiami visi tiekėjai, atitikę kvalifikacijos reikalavimus;</w:t>
      </w:r>
    </w:p>
    <w:p w:rsidR="002C566E" w:rsidRPr="006372C1" w:rsidRDefault="002C566E" w:rsidP="00EF5218">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13</w:t>
      </w:r>
      <w:r w:rsidRPr="006372C1">
        <w:rPr>
          <w:rFonts w:ascii="Times New Roman" w:hAnsi="Times New Roman" w:cs="Times New Roman"/>
          <w:color w:val="000000" w:themeColor="text1"/>
          <w:sz w:val="24"/>
        </w:rPr>
        <w:t>.2. pasiūlymų pateikimo terminas negali būti trumpesnis kaip 7 darbo dienos nuo skelbimo apie supaprastintą pirkimą paskelbimo CVP IS.</w:t>
      </w:r>
    </w:p>
    <w:p w:rsidR="002C566E" w:rsidRPr="006372C1" w:rsidRDefault="002C566E" w:rsidP="00EF5218">
      <w:pPr>
        <w:widowControl/>
        <w:tabs>
          <w:tab w:val="left" w:pos="65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14</w:t>
      </w:r>
      <w:r w:rsidRPr="006372C1">
        <w:rPr>
          <w:rFonts w:ascii="Times New Roman" w:hAnsi="Times New Roman" w:cs="Times New Roman"/>
          <w:color w:val="000000" w:themeColor="text1"/>
          <w:sz w:val="24"/>
        </w:rPr>
        <w:t>. Perkančioji organizacija derybas vykdo tokiais etapais:</w:t>
      </w:r>
    </w:p>
    <w:p w:rsidR="002C566E" w:rsidRPr="006372C1" w:rsidRDefault="002C566E" w:rsidP="00EF5218">
      <w:pPr>
        <w:widowControl/>
        <w:tabs>
          <w:tab w:val="left" w:pos="80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14</w:t>
      </w:r>
      <w:r w:rsidRPr="006372C1">
        <w:rPr>
          <w:rFonts w:ascii="Times New Roman" w:hAnsi="Times New Roman" w:cs="Times New Roman"/>
          <w:color w:val="000000" w:themeColor="text1"/>
          <w:sz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2C566E" w:rsidRPr="006372C1" w:rsidRDefault="002C566E" w:rsidP="00EF5218">
      <w:pPr>
        <w:widowControl/>
        <w:tabs>
          <w:tab w:val="left" w:pos="80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14</w:t>
      </w:r>
      <w:r w:rsidRPr="006372C1">
        <w:rPr>
          <w:rFonts w:ascii="Times New Roman" w:hAnsi="Times New Roman" w:cs="Times New Roman"/>
          <w:color w:val="000000" w:themeColor="text1"/>
          <w:sz w:val="24"/>
        </w:rPr>
        <w:t>.2. perkančioji organizacija susipažįsta su pirminiais pasiūlymais ir minimalius kvalifikacijos reikalavimus atitinkančius dalyvius (kai vykdoma kvalifikacinė atranka – visus pirminius pasiūlymus pateikusius dalyvius) kviečia derėtis;</w:t>
      </w:r>
    </w:p>
    <w:p w:rsidR="002C566E" w:rsidRPr="006372C1" w:rsidRDefault="002C566E" w:rsidP="00EF5218">
      <w:pPr>
        <w:widowControl/>
        <w:tabs>
          <w:tab w:val="left" w:pos="80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14</w:t>
      </w:r>
      <w:r w:rsidRPr="006372C1">
        <w:rPr>
          <w:rFonts w:ascii="Times New Roman" w:hAnsi="Times New Roman" w:cs="Times New Roman"/>
          <w:color w:val="000000" w:themeColor="text1"/>
          <w:sz w:val="24"/>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2C566E" w:rsidRPr="006372C1" w:rsidRDefault="002C566E" w:rsidP="00EF5218">
      <w:pPr>
        <w:widowControl/>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14</w:t>
      </w:r>
      <w:r w:rsidRPr="006372C1">
        <w:rPr>
          <w:rFonts w:ascii="Times New Roman" w:hAnsi="Times New Roman" w:cs="Times New Roman"/>
          <w:color w:val="000000" w:themeColor="text1"/>
          <w:sz w:val="24"/>
        </w:rPr>
        <w:t>.4. vadovaujantis pirkimo dokumentuose nustatyta pasiūlymų vertinimo tvarka ir kriterijais, pagal derybų rezultatus, užfiksuotus pasiūlymuose ir derybų protokoluose, nustatomas geriausias pasiūlymas.</w:t>
      </w:r>
    </w:p>
    <w:p w:rsidR="002C566E" w:rsidRPr="006372C1" w:rsidRDefault="002C566E" w:rsidP="00EF5218">
      <w:pPr>
        <w:widowControl/>
        <w:tabs>
          <w:tab w:val="left" w:pos="653"/>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15</w:t>
      </w:r>
      <w:r w:rsidRPr="006372C1">
        <w:rPr>
          <w:rFonts w:ascii="Times New Roman" w:hAnsi="Times New Roman" w:cs="Times New Roman"/>
          <w:color w:val="000000" w:themeColor="text1"/>
          <w:sz w:val="24"/>
        </w:rPr>
        <w:t>. Derybų metu turi būti laikomasi šių reikalavimų:</w:t>
      </w:r>
    </w:p>
    <w:p w:rsidR="002C566E" w:rsidRPr="006372C1" w:rsidRDefault="002C566E" w:rsidP="00EF5218">
      <w:pPr>
        <w:widowControl/>
        <w:tabs>
          <w:tab w:val="left" w:pos="80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15</w:t>
      </w:r>
      <w:r w:rsidRPr="006372C1">
        <w:rPr>
          <w:rFonts w:ascii="Times New Roman" w:hAnsi="Times New Roman" w:cs="Times New Roman"/>
          <w:color w:val="000000" w:themeColor="text1"/>
          <w:sz w:val="24"/>
        </w:rPr>
        <w:t>.1. tretiesiems asmenims perkančioji organizacija negali atskleisti jokios iš tiekėjo gautos informacijos be jo sutikimo, taip pat tiekėjas negali būti informuojamas apie susitarimus, pasiektus su kitais tiekėjais;</w:t>
      </w:r>
    </w:p>
    <w:p w:rsidR="002C566E" w:rsidRPr="006372C1" w:rsidRDefault="002C566E" w:rsidP="00EF5218">
      <w:pPr>
        <w:widowControl/>
        <w:tabs>
          <w:tab w:val="left" w:pos="80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15</w:t>
      </w:r>
      <w:r w:rsidRPr="006372C1">
        <w:rPr>
          <w:rFonts w:ascii="Times New Roman" w:hAnsi="Times New Roman" w:cs="Times New Roman"/>
          <w:color w:val="000000" w:themeColor="text1"/>
          <w:sz w:val="24"/>
        </w:rPr>
        <w:t>.2. visiems dalyviams turi būti taikomi vienodi reikalavimai, suteikiamos vienodos galimybės ir pateikiama vienoda informacija; teikdama informaciją perkančioji organizacija neturi diskriminuoti vienų tiekėjų kitų naudai;</w:t>
      </w:r>
    </w:p>
    <w:p w:rsidR="002C566E" w:rsidRPr="006372C1" w:rsidRDefault="002C566E" w:rsidP="00EF5218">
      <w:pPr>
        <w:widowControl/>
        <w:tabs>
          <w:tab w:val="left" w:pos="81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15</w:t>
      </w:r>
      <w:r w:rsidRPr="006372C1">
        <w:rPr>
          <w:rFonts w:ascii="Times New Roman" w:hAnsi="Times New Roman" w:cs="Times New Roman"/>
          <w:color w:val="000000" w:themeColor="text1"/>
          <w:sz w:val="24"/>
        </w:rPr>
        <w:t xml:space="preserve">.3. </w:t>
      </w:r>
      <w:r w:rsidR="00BC2E28" w:rsidRPr="006372C1">
        <w:rPr>
          <w:rFonts w:ascii="Times New Roman" w:hAnsi="Times New Roman" w:cs="Times New Roman"/>
          <w:color w:val="000000" w:themeColor="text1"/>
          <w:sz w:val="24"/>
        </w:rPr>
        <w:t xml:space="preserve">su kiekvienu tiekėju derybos vedamos atskirai; </w:t>
      </w:r>
      <w:r w:rsidRPr="006372C1">
        <w:rPr>
          <w:rFonts w:ascii="Times New Roman" w:hAnsi="Times New Roman" w:cs="Times New Roman"/>
          <w:color w:val="000000" w:themeColor="text1"/>
          <w:sz w:val="24"/>
        </w:rPr>
        <w:t>tiekėjai kviečiami derėtis pagal pasiūlymų pateikimo eiliškumą</w:t>
      </w:r>
    </w:p>
    <w:p w:rsidR="006746EC" w:rsidRPr="006372C1" w:rsidRDefault="002C566E" w:rsidP="00BC2E28">
      <w:pPr>
        <w:widowControl/>
        <w:tabs>
          <w:tab w:val="left" w:pos="806"/>
        </w:tabs>
        <w:jc w:val="both"/>
        <w:rPr>
          <w:rFonts w:ascii="Times New Roman" w:hAnsi="Times New Roman" w:cs="Times New Roman"/>
          <w:b/>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15</w:t>
      </w:r>
      <w:r w:rsidRPr="006372C1">
        <w:rPr>
          <w:rFonts w:ascii="Times New Roman" w:hAnsi="Times New Roman" w:cs="Times New Roman"/>
          <w:color w:val="000000" w:themeColor="text1"/>
          <w:sz w:val="24"/>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746EC" w:rsidRPr="006372C1" w:rsidRDefault="006746EC" w:rsidP="00EF5218">
      <w:pPr>
        <w:widowControl/>
        <w:ind w:firstLine="0"/>
        <w:jc w:val="center"/>
        <w:rPr>
          <w:rFonts w:ascii="Times New Roman" w:hAnsi="Times New Roman" w:cs="Times New Roman"/>
          <w:b/>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XIV.</w:t>
      </w:r>
      <w:r w:rsidR="000F6799">
        <w:rPr>
          <w:rFonts w:ascii="Times New Roman" w:hAnsi="Times New Roman" w:cs="Times New Roman"/>
          <w:b/>
          <w:color w:val="000000" w:themeColor="text1"/>
          <w:sz w:val="24"/>
        </w:rPr>
        <w:t xml:space="preserve"> 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 APKLAUSA</w:t>
      </w:r>
    </w:p>
    <w:p w:rsidR="002C566E" w:rsidRPr="006372C1" w:rsidRDefault="002C566E" w:rsidP="00EF5218">
      <w:pPr>
        <w:widowControl/>
        <w:tabs>
          <w:tab w:val="left" w:pos="648"/>
        </w:tabs>
        <w:jc w:val="both"/>
        <w:rPr>
          <w:rFonts w:ascii="Times New Roman" w:hAnsi="Times New Roman" w:cs="Times New Roman"/>
          <w:color w:val="000000" w:themeColor="text1"/>
          <w:sz w:val="24"/>
        </w:rPr>
      </w:pPr>
    </w:p>
    <w:p w:rsidR="002C566E" w:rsidRPr="006372C1" w:rsidRDefault="002C566E" w:rsidP="000920DA">
      <w:pPr>
        <w:tabs>
          <w:tab w:val="left" w:pos="648"/>
        </w:tabs>
        <w:jc w:val="both"/>
        <w:rPr>
          <w:rFonts w:ascii="Times New Roman" w:hAnsi="Times New Roman" w:cs="Times New Roman"/>
          <w:i/>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 xml:space="preserve">. Apklausos būdu pirkimas gali būti atliekamas Taisyklėse nustatytais atvejais ir kai pagal Viešųjų pirkimų įstatymą apie supaprastintą pirkimą neprivaloma skelbti: </w:t>
      </w:r>
    </w:p>
    <w:p w:rsidR="002C566E" w:rsidRPr="006372C1" w:rsidRDefault="002C566E" w:rsidP="000920DA">
      <w:pPr>
        <w:tabs>
          <w:tab w:val="left" w:pos="81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.1. perkant prekes, paslaugas ar darbus, kai:</w:t>
      </w:r>
    </w:p>
    <w:p w:rsidR="002C566E" w:rsidRPr="006372C1" w:rsidRDefault="002C566E" w:rsidP="000920DA">
      <w:pPr>
        <w:tabs>
          <w:tab w:val="left" w:pos="94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.1.1. pirkimas, apie kurį buvo skelbta, neįvyko, nes nebuvo gauta paraiškų ar pasiūlymų;</w:t>
      </w:r>
    </w:p>
    <w:p w:rsidR="002C566E" w:rsidRPr="006372C1" w:rsidRDefault="002C566E" w:rsidP="000920DA">
      <w:pPr>
        <w:tabs>
          <w:tab w:val="left" w:pos="94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C566E" w:rsidRPr="006372C1" w:rsidRDefault="002C566E" w:rsidP="000920DA">
      <w:pPr>
        <w:tabs>
          <w:tab w:val="left" w:pos="94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.1.3. dėl įvykių, kurių perkančioji organizacija negalėjo iš anksto numatyti, būtina skubiai įsigyti reikalingų prekių, paslaugų ar darbų. Aplinkybės, kuriomis grindžiama ypatinga skuba, negali priklausyti nuo perkančiosios organizacijos;</w:t>
      </w:r>
    </w:p>
    <w:p w:rsidR="002C566E" w:rsidRPr="006372C1" w:rsidRDefault="002C566E" w:rsidP="000920DA">
      <w:pPr>
        <w:tabs>
          <w:tab w:val="left" w:pos="1070"/>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 xml:space="preserve">.1.4. atliekamas  mažos vertės pirkimas </w:t>
      </w:r>
      <w:r w:rsidR="00911D8E" w:rsidRPr="006372C1">
        <w:rPr>
          <w:rFonts w:ascii="Times New Roman" w:hAnsi="Times New Roman" w:cs="Times New Roman"/>
          <w:color w:val="000000" w:themeColor="text1"/>
          <w:sz w:val="24"/>
        </w:rPr>
        <w:t>kai sudaromos prekių ar paslaugų pir</w:t>
      </w:r>
      <w:r w:rsidR="00E239FA" w:rsidRPr="006372C1">
        <w:rPr>
          <w:rFonts w:ascii="Times New Roman" w:hAnsi="Times New Roman" w:cs="Times New Roman"/>
          <w:color w:val="000000" w:themeColor="text1"/>
          <w:sz w:val="24"/>
        </w:rPr>
        <w:t xml:space="preserve">kimo </w:t>
      </w:r>
      <w:r w:rsidR="00E239FA" w:rsidRPr="006372C1">
        <w:rPr>
          <w:rFonts w:ascii="Times New Roman" w:hAnsi="Times New Roman" w:cs="Times New Roman"/>
          <w:color w:val="000000" w:themeColor="text1"/>
          <w:sz w:val="24"/>
        </w:rPr>
        <w:lastRenderedPageBreak/>
        <w:t xml:space="preserve">sutarties vertė neviršija </w:t>
      </w:r>
      <w:r w:rsidR="00EE65E7" w:rsidRPr="006372C1">
        <w:rPr>
          <w:rFonts w:ascii="Times New Roman" w:hAnsi="Times New Roman" w:cs="Times New Roman"/>
          <w:color w:val="000000" w:themeColor="text1"/>
          <w:sz w:val="24"/>
        </w:rPr>
        <w:t>37</w:t>
      </w:r>
      <w:r w:rsidR="00911D8E" w:rsidRPr="006372C1">
        <w:rPr>
          <w:rFonts w:ascii="Times New Roman" w:hAnsi="Times New Roman" w:cs="Times New Roman"/>
          <w:color w:val="000000" w:themeColor="text1"/>
          <w:sz w:val="24"/>
        </w:rPr>
        <w:t xml:space="preserve"> </w:t>
      </w:r>
      <w:r w:rsidR="00EE65E7" w:rsidRPr="006372C1">
        <w:rPr>
          <w:rFonts w:ascii="Times New Roman" w:hAnsi="Times New Roman" w:cs="Times New Roman"/>
          <w:color w:val="000000" w:themeColor="text1"/>
          <w:sz w:val="24"/>
        </w:rPr>
        <w:t>651</w:t>
      </w:r>
      <w:r w:rsidR="00911D8E" w:rsidRPr="006372C1">
        <w:rPr>
          <w:rFonts w:ascii="Times New Roman" w:hAnsi="Times New Roman" w:cs="Times New Roman"/>
          <w:color w:val="000000" w:themeColor="text1"/>
          <w:sz w:val="24"/>
        </w:rPr>
        <w:t xml:space="preserve"> </w:t>
      </w:r>
      <w:r w:rsidR="00BA787C" w:rsidRPr="006372C1">
        <w:rPr>
          <w:rFonts w:ascii="Times New Roman" w:hAnsi="Times New Roman" w:cs="Times New Roman"/>
          <w:color w:val="000000" w:themeColor="text1"/>
          <w:sz w:val="24"/>
        </w:rPr>
        <w:t xml:space="preserve"> </w:t>
      </w:r>
      <w:r w:rsidR="00EE65E7" w:rsidRPr="006372C1">
        <w:rPr>
          <w:rFonts w:ascii="Times New Roman" w:hAnsi="Times New Roman" w:cs="Times New Roman"/>
          <w:color w:val="000000" w:themeColor="text1"/>
          <w:sz w:val="24"/>
        </w:rPr>
        <w:t>eurų</w:t>
      </w:r>
      <w:r w:rsidR="00911D8E" w:rsidRPr="006372C1">
        <w:rPr>
          <w:rFonts w:ascii="Times New Roman" w:hAnsi="Times New Roman" w:cs="Times New Roman"/>
          <w:color w:val="000000" w:themeColor="text1"/>
          <w:sz w:val="24"/>
        </w:rPr>
        <w:t xml:space="preserve"> (be pridėtinės vertės mokesčio); d</w:t>
      </w:r>
      <w:r w:rsidR="00E239FA" w:rsidRPr="006372C1">
        <w:rPr>
          <w:rFonts w:ascii="Times New Roman" w:hAnsi="Times New Roman" w:cs="Times New Roman"/>
          <w:color w:val="000000" w:themeColor="text1"/>
          <w:sz w:val="24"/>
        </w:rPr>
        <w:t xml:space="preserve">arbų pirkimo sutarties vertė </w:t>
      </w:r>
      <w:r w:rsidR="000839AC" w:rsidRPr="006372C1">
        <w:rPr>
          <w:rFonts w:ascii="Times New Roman" w:hAnsi="Times New Roman" w:cs="Times New Roman"/>
          <w:color w:val="000000" w:themeColor="text1"/>
          <w:sz w:val="24"/>
        </w:rPr>
        <w:t xml:space="preserve">neviršija </w:t>
      </w:r>
      <w:r w:rsidR="00EE65E7" w:rsidRPr="006372C1">
        <w:rPr>
          <w:rFonts w:ascii="Times New Roman" w:hAnsi="Times New Roman" w:cs="Times New Roman"/>
          <w:color w:val="000000" w:themeColor="text1"/>
          <w:sz w:val="24"/>
        </w:rPr>
        <w:t>58</w:t>
      </w:r>
      <w:r w:rsidR="00911D8E" w:rsidRPr="006372C1">
        <w:rPr>
          <w:rFonts w:ascii="Times New Roman" w:hAnsi="Times New Roman" w:cs="Times New Roman"/>
          <w:color w:val="000000" w:themeColor="text1"/>
          <w:sz w:val="24"/>
        </w:rPr>
        <w:t xml:space="preserve"> 000</w:t>
      </w:r>
      <w:r w:rsidR="00BA787C" w:rsidRPr="006372C1">
        <w:rPr>
          <w:rFonts w:ascii="Times New Roman" w:hAnsi="Times New Roman" w:cs="Times New Roman"/>
          <w:color w:val="000000" w:themeColor="text1"/>
          <w:sz w:val="24"/>
        </w:rPr>
        <w:t xml:space="preserve"> </w:t>
      </w:r>
      <w:r w:rsidR="00911D8E" w:rsidRPr="006372C1">
        <w:rPr>
          <w:rFonts w:ascii="Times New Roman" w:hAnsi="Times New Roman" w:cs="Times New Roman"/>
          <w:color w:val="000000" w:themeColor="text1"/>
          <w:sz w:val="24"/>
        </w:rPr>
        <w:t xml:space="preserve"> </w:t>
      </w:r>
      <w:r w:rsidR="00EE65E7" w:rsidRPr="006372C1">
        <w:rPr>
          <w:rFonts w:ascii="Times New Roman" w:hAnsi="Times New Roman" w:cs="Times New Roman"/>
          <w:color w:val="000000" w:themeColor="text1"/>
          <w:sz w:val="24"/>
        </w:rPr>
        <w:t>eurų</w:t>
      </w:r>
      <w:r w:rsidR="00911D8E" w:rsidRPr="006372C1">
        <w:rPr>
          <w:rFonts w:ascii="Times New Roman" w:hAnsi="Times New Roman" w:cs="Times New Roman"/>
          <w:color w:val="000000" w:themeColor="text1"/>
          <w:sz w:val="24"/>
        </w:rPr>
        <w:t xml:space="preserve"> (be pridėtinės vertės mokesčio)</w:t>
      </w:r>
      <w:r w:rsidR="00EE65E7" w:rsidRPr="006372C1">
        <w:rPr>
          <w:rFonts w:ascii="Times New Roman" w:hAnsi="Times New Roman" w:cs="Times New Roman"/>
          <w:color w:val="000000" w:themeColor="text1"/>
          <w:sz w:val="24"/>
        </w:rPr>
        <w:t>.</w:t>
      </w:r>
    </w:p>
    <w:p w:rsidR="002C566E" w:rsidRPr="006372C1" w:rsidRDefault="002C566E" w:rsidP="000920DA">
      <w:pPr>
        <w:tabs>
          <w:tab w:val="left" w:pos="94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.1.</w:t>
      </w:r>
      <w:r w:rsidR="00911D8E" w:rsidRPr="006372C1">
        <w:rPr>
          <w:rFonts w:ascii="Times New Roman" w:hAnsi="Times New Roman" w:cs="Times New Roman"/>
          <w:color w:val="000000" w:themeColor="text1"/>
          <w:sz w:val="24"/>
        </w:rPr>
        <w:t>5</w:t>
      </w:r>
      <w:r w:rsidRPr="006372C1">
        <w:rPr>
          <w:rFonts w:ascii="Times New Roman" w:hAnsi="Times New Roman" w:cs="Times New Roman"/>
          <w:color w:val="000000" w:themeColor="text1"/>
          <w:sz w:val="24"/>
        </w:rPr>
        <w:t>. dėl techninių</w:t>
      </w:r>
      <w:r w:rsidR="006372C1" w:rsidRPr="006372C1">
        <w:rPr>
          <w:rFonts w:ascii="Times New Roman" w:hAnsi="Times New Roman" w:cs="Times New Roman"/>
          <w:color w:val="000000" w:themeColor="text1"/>
          <w:sz w:val="24"/>
        </w:rPr>
        <w:t xml:space="preserve"> </w:t>
      </w:r>
      <w:r w:rsidRPr="006372C1">
        <w:rPr>
          <w:rFonts w:ascii="Times New Roman" w:hAnsi="Times New Roman" w:cs="Times New Roman"/>
          <w:color w:val="000000" w:themeColor="text1"/>
          <w:sz w:val="24"/>
        </w:rPr>
        <w:t>priežasčių</w:t>
      </w:r>
      <w:r w:rsidR="007C7772" w:rsidRPr="006372C1">
        <w:rPr>
          <w:rFonts w:ascii="Times New Roman" w:hAnsi="Times New Roman" w:cs="Times New Roman"/>
          <w:color w:val="000000" w:themeColor="text1"/>
          <w:sz w:val="24"/>
        </w:rPr>
        <w:t xml:space="preserve">, meninio kūrinio sukūrimo arba įsigijimo </w:t>
      </w:r>
      <w:r w:rsidRPr="006372C1">
        <w:rPr>
          <w:rFonts w:ascii="Times New Roman" w:hAnsi="Times New Roman" w:cs="Times New Roman"/>
          <w:color w:val="000000" w:themeColor="text1"/>
          <w:sz w:val="24"/>
        </w:rPr>
        <w:t xml:space="preserve"> ar dėl objektyvių aplinkybių</w:t>
      </w:r>
      <w:r w:rsidR="007C7772" w:rsidRPr="006372C1">
        <w:rPr>
          <w:rFonts w:ascii="Times New Roman" w:hAnsi="Times New Roman" w:cs="Times New Roman"/>
          <w:color w:val="000000" w:themeColor="text1"/>
          <w:sz w:val="24"/>
        </w:rPr>
        <w:t>, patentų, kitų intelektinės nuosavybės teisių ar kitų išimtinių teisių apsaugos</w:t>
      </w:r>
      <w:r w:rsidRPr="006372C1">
        <w:rPr>
          <w:rFonts w:ascii="Times New Roman" w:hAnsi="Times New Roman" w:cs="Times New Roman"/>
          <w:color w:val="000000" w:themeColor="text1"/>
          <w:sz w:val="24"/>
        </w:rPr>
        <w:t xml:space="preserve"> tik konkretus tiekėjas gali patiekti reikalingas prekes, pateikti paslaugas ar atlikti darbus ir nėra jokios kitos alternatyvos;</w:t>
      </w:r>
    </w:p>
    <w:p w:rsidR="002C566E" w:rsidRPr="006372C1" w:rsidRDefault="002C566E" w:rsidP="000920DA">
      <w:pPr>
        <w:tabs>
          <w:tab w:val="left" w:pos="81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.2. perkamos prekės ir paslaugos:</w:t>
      </w:r>
    </w:p>
    <w:p w:rsidR="002C566E" w:rsidRPr="006372C1" w:rsidRDefault="002C566E" w:rsidP="000920DA">
      <w:pPr>
        <w:tabs>
          <w:tab w:val="left" w:pos="94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2C566E" w:rsidRPr="006372C1" w:rsidRDefault="002C566E" w:rsidP="000920DA">
      <w:pPr>
        <w:tabs>
          <w:tab w:val="left" w:pos="94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.2.2. prekės ir paslaugos yra perkamos naudojant reprezentacinėms išlaidoms skirtas lėšas</w:t>
      </w:r>
      <w:r w:rsidR="00E361EF" w:rsidRPr="006372C1">
        <w:rPr>
          <w:rFonts w:ascii="Times New Roman" w:hAnsi="Times New Roman" w:cs="Times New Roman"/>
          <w:color w:val="000000" w:themeColor="text1"/>
          <w:sz w:val="24"/>
        </w:rPr>
        <w:t xml:space="preserve">, </w:t>
      </w:r>
      <w:r w:rsidR="00E361EF" w:rsidRPr="006372C1">
        <w:rPr>
          <w:rFonts w:ascii="Times New Roman" w:hAnsi="Times New Roman" w:cs="Times New Roman"/>
          <w:color w:val="000000" w:themeColor="text1"/>
          <w:sz w:val="24"/>
          <w:lang w:eastAsia="sl-SI"/>
        </w:rPr>
        <w:t>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2C566E" w:rsidRPr="006372C1" w:rsidRDefault="002C566E" w:rsidP="000920DA">
      <w:pPr>
        <w:tabs>
          <w:tab w:val="left" w:pos="81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.3. perkamos prekės, kai:</w:t>
      </w:r>
    </w:p>
    <w:p w:rsidR="002C566E" w:rsidRPr="006372C1" w:rsidRDefault="002C566E" w:rsidP="000920DA">
      <w:pPr>
        <w:tabs>
          <w:tab w:val="left" w:pos="93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.3.1. perkamos prekės gaminamos tik mokslo, eksperimentavimo, studijų ar techninio tobulinimo tikslais, nesiekiant gauti pelno arba padengti mokslo ar tobulinimo išlaidų;</w:t>
      </w:r>
    </w:p>
    <w:p w:rsidR="002C566E" w:rsidRPr="006372C1" w:rsidRDefault="002C566E" w:rsidP="000920DA">
      <w:pPr>
        <w:tabs>
          <w:tab w:val="left" w:pos="94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.3.2. prekių biržoje perkamos kotiruojamos prekės;</w:t>
      </w:r>
    </w:p>
    <w:p w:rsidR="002C566E" w:rsidRPr="006372C1" w:rsidRDefault="002C566E" w:rsidP="000920DA">
      <w:pPr>
        <w:tabs>
          <w:tab w:val="left" w:pos="94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.3.3. perkami muziejų eksponatai, archyviniai ir bibliotekiniai dokumentai, prenumeruojami laikraščiai ir žurnalai;</w:t>
      </w:r>
    </w:p>
    <w:p w:rsidR="002C566E" w:rsidRPr="006372C1" w:rsidRDefault="002C566E" w:rsidP="000920DA">
      <w:pPr>
        <w:tabs>
          <w:tab w:val="left" w:pos="94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.3.4. ypač palankiomis sąlygomis perkama iš bankrutuojančių, likviduojamų ar restruktūrizuojamų ūkio subjektų;</w:t>
      </w:r>
    </w:p>
    <w:p w:rsidR="002C566E" w:rsidRPr="006372C1" w:rsidRDefault="002C566E" w:rsidP="000920DA">
      <w:pPr>
        <w:tabs>
          <w:tab w:val="left" w:pos="94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.3.5. prekės perkamos iš valstybės rezervo;</w:t>
      </w:r>
    </w:p>
    <w:p w:rsidR="002C566E" w:rsidRPr="006372C1" w:rsidRDefault="002C566E" w:rsidP="000920DA">
      <w:pPr>
        <w:tabs>
          <w:tab w:val="left" w:pos="81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.4. perkamos paslaugos, kai:</w:t>
      </w:r>
    </w:p>
    <w:p w:rsidR="002C566E" w:rsidRPr="006372C1" w:rsidRDefault="002C566E" w:rsidP="000920DA">
      <w:pPr>
        <w:tabs>
          <w:tab w:val="left" w:pos="93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.4.1. perkamos licencijos naudotis bibliotekiniais dokumentais ar duomenų (informacinėmis) bazėmis;</w:t>
      </w:r>
    </w:p>
    <w:p w:rsidR="002C566E" w:rsidRPr="006372C1" w:rsidRDefault="002C566E" w:rsidP="000920DA">
      <w:pPr>
        <w:tabs>
          <w:tab w:val="left" w:pos="93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.4.2. perkamos teisėjų, prokurorų, profesinės karo tarnybos karių, perkančiosios organizacijos valstybės tarnautojų ir (ar) pagal darbo sutartį dirbančių darbuotojų mokymo paslaugos</w:t>
      </w:r>
      <w:r w:rsidR="008365AD" w:rsidRPr="006372C1">
        <w:rPr>
          <w:rFonts w:ascii="Times New Roman" w:hAnsi="Times New Roman" w:cs="Times New Roman"/>
          <w:color w:val="000000" w:themeColor="text1"/>
          <w:sz w:val="24"/>
        </w:rPr>
        <w:t>, kai perkančioji organizacija iš anksto planuoja įsigyti tokių paslaugų ir yra pakankamai tiekėjų, galinčių pateikti pasiūlymus perkančiosios organizacijos pageidaujamomis mokymų temomis;</w:t>
      </w:r>
    </w:p>
    <w:p w:rsidR="002C566E" w:rsidRPr="006372C1" w:rsidRDefault="002C566E" w:rsidP="000920DA">
      <w:pPr>
        <w:tabs>
          <w:tab w:val="left" w:pos="93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C566E" w:rsidRPr="006372C1" w:rsidRDefault="002C566E" w:rsidP="000920DA">
      <w:pPr>
        <w:tabs>
          <w:tab w:val="left" w:pos="93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.4.4. perkamos ekspertų komisijų, komitetų, tarybų, kurių sudarymo tvarką nustato Lietuvos Respublikos įstatymai, narių teikiamos nematerialaus pobūdžio (intelektinės) paslaugos;</w:t>
      </w:r>
    </w:p>
    <w:p w:rsidR="00F53C7C" w:rsidRPr="006372C1" w:rsidRDefault="00F53C7C" w:rsidP="000920DA">
      <w:pPr>
        <w:tabs>
          <w:tab w:val="left" w:pos="93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DD5165" w:rsidRPr="006372C1">
        <w:rPr>
          <w:rFonts w:ascii="Times New Roman" w:hAnsi="Times New Roman" w:cs="Times New Roman"/>
          <w:color w:val="000000" w:themeColor="text1"/>
          <w:sz w:val="24"/>
        </w:rPr>
        <w:t>.</w:t>
      </w:r>
    </w:p>
    <w:p w:rsidR="002C566E" w:rsidRPr="006372C1" w:rsidRDefault="002C566E" w:rsidP="000920DA">
      <w:pPr>
        <w:tabs>
          <w:tab w:val="left" w:pos="81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.5. perkamos paslaugos ir darbai, kai:</w:t>
      </w:r>
    </w:p>
    <w:p w:rsidR="002C566E" w:rsidRPr="006372C1" w:rsidRDefault="002C566E" w:rsidP="000920DA">
      <w:pPr>
        <w:tabs>
          <w:tab w:val="left" w:pos="92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C566E" w:rsidRPr="006372C1" w:rsidRDefault="002C566E" w:rsidP="000920DA">
      <w:pPr>
        <w:tabs>
          <w:tab w:val="left" w:pos="92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16</w:t>
      </w:r>
      <w:r w:rsidRPr="006372C1">
        <w:rPr>
          <w:rFonts w:ascii="Times New Roman" w:hAnsi="Times New Roman" w:cs="Times New Roman"/>
          <w:color w:val="000000" w:themeColor="text1"/>
          <w:sz w:val="24"/>
        </w:rPr>
        <w:t xml:space="preserve">.5.2. perkant iš esamo tiekėjo naujas paslaugas ar darbus, tokius pat, kokie buvo pirkti </w:t>
      </w:r>
      <w:r w:rsidRPr="006372C1">
        <w:rPr>
          <w:rFonts w:ascii="Times New Roman" w:hAnsi="Times New Roman" w:cs="Times New Roman"/>
          <w:color w:val="000000" w:themeColor="text1"/>
          <w:sz w:val="24"/>
        </w:rPr>
        <w:lastRenderedPageBreak/>
        <w:t>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2C566E" w:rsidRPr="006372C1" w:rsidRDefault="002C566E" w:rsidP="000920DA">
      <w:pPr>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17</w:t>
      </w:r>
      <w:r w:rsidRPr="006372C1">
        <w:rPr>
          <w:rFonts w:ascii="Times New Roman" w:hAnsi="Times New Roman" w:cs="Times New Roman"/>
          <w:color w:val="000000" w:themeColor="text1"/>
          <w:sz w:val="24"/>
        </w:rPr>
        <w:t>. Vykdant supaprastintą pirkimą apklausos būdu, kreipiamasi į vieną ar kelis tiekėjus, prašant pateikti pasiūlymus pagal perkančiosios organizacijos keliamus reikalavimus. Kai apklausa vykdoma po supaprastinto atviro ar supaprastintų skelbiamų derybų, atmetus visus pasiūlymus, į tiekėjus, atitinkančius minimalius kvalifikacijos reikalavimus, kreipiamasi pateikti patvirtinimą apie sutikimą dalyvauti pirkime.</w:t>
      </w:r>
    </w:p>
    <w:p w:rsidR="002C566E" w:rsidRPr="006372C1" w:rsidRDefault="002C566E" w:rsidP="000920DA">
      <w:pPr>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18</w:t>
      </w:r>
      <w:r w:rsidRPr="006372C1">
        <w:rPr>
          <w:rFonts w:ascii="Times New Roman" w:hAnsi="Times New Roman" w:cs="Times New Roman"/>
          <w:color w:val="000000" w:themeColor="text1"/>
          <w:sz w:val="24"/>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2C566E" w:rsidRPr="006372C1" w:rsidRDefault="002C566E" w:rsidP="000920DA">
      <w:pPr>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11</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xml:space="preserve">. Perkančioji organizacija, prašydama pateikti pasiūlymus, </w:t>
      </w:r>
      <w:r w:rsidRPr="003A4A70">
        <w:rPr>
          <w:rFonts w:ascii="Times New Roman" w:hAnsi="Times New Roman" w:cs="Times New Roman"/>
          <w:b/>
          <w:color w:val="000000" w:themeColor="text1"/>
          <w:sz w:val="24"/>
        </w:rPr>
        <w:t>privalo kreiptis į 3 ar daugiau tiekėjų, išskyrus, kai</w:t>
      </w:r>
      <w:r w:rsidR="00C73312" w:rsidRPr="003A4A70">
        <w:rPr>
          <w:rFonts w:ascii="Times New Roman" w:hAnsi="Times New Roman" w:cs="Times New Roman"/>
          <w:b/>
          <w:color w:val="000000" w:themeColor="text1"/>
          <w:sz w:val="24"/>
        </w:rPr>
        <w:t xml:space="preserve"> gali būti apklausiamas vienas tiekėjas šiais atvejais</w:t>
      </w:r>
      <w:r w:rsidRPr="003A4A70">
        <w:rPr>
          <w:rFonts w:ascii="Times New Roman" w:hAnsi="Times New Roman" w:cs="Times New Roman"/>
          <w:b/>
          <w:color w:val="000000" w:themeColor="text1"/>
          <w:sz w:val="24"/>
        </w:rPr>
        <w:t>:</w:t>
      </w:r>
    </w:p>
    <w:p w:rsidR="002C566E" w:rsidRPr="006372C1" w:rsidRDefault="002C566E" w:rsidP="000920DA">
      <w:pPr>
        <w:tabs>
          <w:tab w:val="left" w:pos="80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19</w:t>
      </w:r>
      <w:r w:rsidRPr="006372C1">
        <w:rPr>
          <w:rFonts w:ascii="Times New Roman" w:hAnsi="Times New Roman" w:cs="Times New Roman"/>
          <w:color w:val="000000" w:themeColor="text1"/>
          <w:sz w:val="24"/>
        </w:rPr>
        <w:t>.</w:t>
      </w:r>
      <w:r w:rsidR="000856F9" w:rsidRPr="006372C1">
        <w:rPr>
          <w:rFonts w:ascii="Times New Roman" w:hAnsi="Times New Roman" w:cs="Times New Roman"/>
          <w:color w:val="000000" w:themeColor="text1"/>
          <w:sz w:val="24"/>
        </w:rPr>
        <w:t>1</w:t>
      </w:r>
      <w:r w:rsidRPr="006372C1">
        <w:rPr>
          <w:rFonts w:ascii="Times New Roman" w:hAnsi="Times New Roman" w:cs="Times New Roman"/>
          <w:color w:val="000000" w:themeColor="text1"/>
          <w:sz w:val="24"/>
        </w:rPr>
        <w:t xml:space="preserve">. pirkimo sutarties vertė </w:t>
      </w:r>
      <w:r w:rsidR="000856F9" w:rsidRPr="006372C1">
        <w:rPr>
          <w:rFonts w:ascii="Times New Roman" w:hAnsi="Times New Roman" w:cs="Times New Roman"/>
          <w:color w:val="000000" w:themeColor="text1"/>
          <w:sz w:val="24"/>
        </w:rPr>
        <w:t>neviršija</w:t>
      </w:r>
      <w:r w:rsidR="00B44898" w:rsidRPr="006372C1">
        <w:rPr>
          <w:rFonts w:ascii="Times New Roman" w:hAnsi="Times New Roman" w:cs="Times New Roman"/>
          <w:color w:val="000000" w:themeColor="text1"/>
          <w:sz w:val="24"/>
        </w:rPr>
        <w:t xml:space="preserve"> </w:t>
      </w:r>
      <w:r w:rsidR="00EE65E7" w:rsidRPr="006372C1">
        <w:rPr>
          <w:rFonts w:ascii="Times New Roman" w:hAnsi="Times New Roman" w:cs="Times New Roman"/>
          <w:color w:val="000000" w:themeColor="text1"/>
          <w:sz w:val="24"/>
        </w:rPr>
        <w:t>58</w:t>
      </w:r>
      <w:r w:rsidRPr="006372C1">
        <w:rPr>
          <w:rFonts w:ascii="Times New Roman" w:hAnsi="Times New Roman" w:cs="Times New Roman"/>
          <w:color w:val="000000" w:themeColor="text1"/>
          <w:sz w:val="24"/>
        </w:rPr>
        <w:t xml:space="preserve"> 000 </w:t>
      </w:r>
      <w:r w:rsidR="00EE65E7" w:rsidRPr="006372C1">
        <w:rPr>
          <w:rFonts w:ascii="Times New Roman" w:hAnsi="Times New Roman" w:cs="Times New Roman"/>
          <w:color w:val="000000" w:themeColor="text1"/>
          <w:sz w:val="24"/>
        </w:rPr>
        <w:t>eurų</w:t>
      </w:r>
      <w:r w:rsidRPr="006372C1">
        <w:rPr>
          <w:rFonts w:ascii="Times New Roman" w:hAnsi="Times New Roman" w:cs="Times New Roman"/>
          <w:color w:val="000000" w:themeColor="text1"/>
          <w:sz w:val="24"/>
        </w:rPr>
        <w:t xml:space="preserve"> (be pridėtinės vertės mokesčio)</w:t>
      </w:r>
      <w:r w:rsidR="00AE4B1E" w:rsidRPr="006372C1">
        <w:rPr>
          <w:rFonts w:ascii="Times New Roman" w:hAnsi="Times New Roman" w:cs="Times New Roman"/>
          <w:color w:val="000000" w:themeColor="text1"/>
          <w:sz w:val="24"/>
        </w:rPr>
        <w:t>;</w:t>
      </w:r>
    </w:p>
    <w:p w:rsidR="0082043A" w:rsidRPr="006372C1" w:rsidRDefault="00AE4B1E" w:rsidP="0082043A">
      <w:pPr>
        <w:tabs>
          <w:tab w:val="left" w:pos="92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11</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xml:space="preserve">.2. </w:t>
      </w:r>
      <w:r w:rsidR="0082043A" w:rsidRPr="006372C1">
        <w:rPr>
          <w:rFonts w:ascii="Times New Roman" w:hAnsi="Times New Roman" w:cs="Times New Roman"/>
          <w:color w:val="000000" w:themeColor="text1"/>
          <w:sz w:val="24"/>
        </w:rPr>
        <w:t>dėl techninių, meninių priežasčių ar dėl objektyvių aplinkybių tik konkretus tiekėjas gali patiekti reikalingas prekes, pateikti paslaugas ar atlikti darbus ir kai nėra jokios kitos alternatyvos;</w:t>
      </w:r>
    </w:p>
    <w:p w:rsidR="000856F9" w:rsidRPr="006372C1" w:rsidRDefault="0082043A" w:rsidP="00025BC2">
      <w:pPr>
        <w:tabs>
          <w:tab w:val="left" w:pos="806"/>
        </w:tabs>
        <w:ind w:right="283"/>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11</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.3. dėl įvykių, kurių perkančioji organizacija negalėjo iš anksto numatyti, būtina skubiai įsigyti reikalingų prekių, paslaugų ar darbų, o vykdant apklausą raštu prekių, paslaugų ar darbų nepavyktų įsigyti laiku.</w:t>
      </w:r>
    </w:p>
    <w:p w:rsidR="003B034F" w:rsidRPr="006372C1" w:rsidRDefault="00BA04CD" w:rsidP="00025BC2">
      <w:pPr>
        <w:tabs>
          <w:tab w:val="left" w:pos="806"/>
        </w:tabs>
        <w:ind w:right="283"/>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11</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w:t>
      </w:r>
      <w:r w:rsidR="00D7789E" w:rsidRPr="006372C1">
        <w:rPr>
          <w:rFonts w:ascii="Times New Roman" w:hAnsi="Times New Roman" w:cs="Times New Roman"/>
          <w:color w:val="000000" w:themeColor="text1"/>
          <w:sz w:val="24"/>
        </w:rPr>
        <w:t>4</w:t>
      </w:r>
      <w:r w:rsidRPr="006372C1">
        <w:rPr>
          <w:rFonts w:ascii="Times New Roman" w:hAnsi="Times New Roman" w:cs="Times New Roman"/>
          <w:color w:val="000000" w:themeColor="text1"/>
          <w:sz w:val="24"/>
        </w:rPr>
        <w:t xml:space="preserve">. </w:t>
      </w:r>
      <w:r w:rsidR="007C7716" w:rsidRPr="006372C1">
        <w:rPr>
          <w:rFonts w:ascii="Times New Roman" w:hAnsi="Times New Roman" w:cs="Times New Roman"/>
          <w:color w:val="000000" w:themeColor="text1"/>
          <w:sz w:val="24"/>
        </w:rPr>
        <w:t>p</w:t>
      </w:r>
      <w:r w:rsidRPr="006372C1">
        <w:rPr>
          <w:rFonts w:ascii="Times New Roman" w:hAnsi="Times New Roman" w:cs="Times New Roman"/>
          <w:color w:val="000000" w:themeColor="text1"/>
          <w:sz w:val="24"/>
        </w:rPr>
        <w:t>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D7789E" w:rsidRPr="006372C1" w:rsidRDefault="00D7789E" w:rsidP="00025BC2">
      <w:pPr>
        <w:tabs>
          <w:tab w:val="left" w:pos="806"/>
        </w:tabs>
        <w:ind w:right="283"/>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11</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vertė neturi viršyti 30 procentų pradinės pirkimo sutarties vertės;</w:t>
      </w:r>
    </w:p>
    <w:p w:rsidR="00D7789E" w:rsidRPr="006372C1" w:rsidRDefault="00D7789E" w:rsidP="00025BC2">
      <w:pPr>
        <w:tabs>
          <w:tab w:val="left" w:pos="806"/>
        </w:tabs>
        <w:ind w:right="283"/>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11</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.6. apklausa atliekama po supaprastinto pirkimo, apie kurį buvo skelbta ir kuris neįvyko, nes nebuvo gauta paraiškų ar pasiūlymų</w:t>
      </w:r>
      <w:r w:rsidR="008365AD" w:rsidRPr="006372C1">
        <w:rPr>
          <w:rFonts w:ascii="Times New Roman" w:hAnsi="Times New Roman" w:cs="Times New Roman"/>
          <w:color w:val="000000" w:themeColor="text1"/>
          <w:sz w:val="24"/>
        </w:rPr>
        <w:t xml:space="preserve"> (jei yra pakankamai tiekėjų)</w:t>
      </w:r>
      <w:r w:rsidRPr="006372C1">
        <w:rPr>
          <w:rFonts w:ascii="Times New Roman" w:hAnsi="Times New Roman" w:cs="Times New Roman"/>
          <w:color w:val="000000" w:themeColor="text1"/>
          <w:sz w:val="24"/>
        </w:rPr>
        <w:t>;</w:t>
      </w:r>
    </w:p>
    <w:p w:rsidR="00D7789E" w:rsidRPr="006372C1" w:rsidRDefault="00D7789E" w:rsidP="00025BC2">
      <w:pPr>
        <w:tabs>
          <w:tab w:val="left" w:pos="806"/>
        </w:tabs>
        <w:ind w:right="283"/>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11</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xml:space="preserve">.7. </w:t>
      </w:r>
      <w:r w:rsidR="0032411A" w:rsidRPr="006372C1">
        <w:rPr>
          <w:rFonts w:ascii="Times New Roman" w:hAnsi="Times New Roman" w:cs="Times New Roman"/>
          <w:color w:val="000000" w:themeColor="text1"/>
          <w:sz w:val="24"/>
        </w:rPr>
        <w:t>p</w:t>
      </w:r>
      <w:r w:rsidRPr="006372C1">
        <w:rPr>
          <w:rFonts w:ascii="Times New Roman" w:hAnsi="Times New Roman" w:cs="Times New Roman"/>
          <w:color w:val="000000" w:themeColor="text1"/>
          <w:sz w:val="24"/>
        </w:rPr>
        <w:t>renumeruojami laikraščiai,</w:t>
      </w:r>
      <w:r w:rsidR="00F250C5" w:rsidRPr="006372C1">
        <w:rPr>
          <w:rFonts w:ascii="Times New Roman" w:hAnsi="Times New Roman" w:cs="Times New Roman"/>
          <w:color w:val="000000" w:themeColor="text1"/>
          <w:sz w:val="24"/>
        </w:rPr>
        <w:t xml:space="preserve"> dienraščiai, </w:t>
      </w:r>
      <w:r w:rsidRPr="006372C1">
        <w:rPr>
          <w:rFonts w:ascii="Times New Roman" w:hAnsi="Times New Roman" w:cs="Times New Roman"/>
          <w:color w:val="000000" w:themeColor="text1"/>
          <w:sz w:val="24"/>
        </w:rPr>
        <w:t>žurnalai ir kita periodinė literatūra.</w:t>
      </w:r>
    </w:p>
    <w:p w:rsidR="00C14C6E" w:rsidRPr="006372C1" w:rsidRDefault="00C14C6E" w:rsidP="00C14C6E">
      <w:pPr>
        <w:spacing w:line="276" w:lineRule="auto"/>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119.</w:t>
      </w:r>
      <w:r w:rsidR="00B46185" w:rsidRPr="006372C1">
        <w:rPr>
          <w:rFonts w:ascii="Times New Roman" w:hAnsi="Times New Roman" w:cs="Times New Roman"/>
          <w:color w:val="000000" w:themeColor="text1"/>
          <w:sz w:val="24"/>
        </w:rPr>
        <w:t>8</w:t>
      </w:r>
      <w:r w:rsidRPr="006372C1">
        <w:rPr>
          <w:rFonts w:ascii="Times New Roman" w:hAnsi="Times New Roman" w:cs="Times New Roman"/>
          <w:color w:val="000000" w:themeColor="text1"/>
          <w:sz w:val="24"/>
        </w:rPr>
        <w:t>. perkami suvenyrai, gėlės,  laidojimo vainikai ir pan.</w:t>
      </w:r>
    </w:p>
    <w:p w:rsidR="002C566E" w:rsidRPr="006372C1" w:rsidRDefault="002C566E" w:rsidP="00CE7E2D">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20</w:t>
      </w:r>
      <w:r w:rsidRPr="006372C1">
        <w:rPr>
          <w:rFonts w:ascii="Times New Roman" w:hAnsi="Times New Roman" w:cs="Times New Roman"/>
          <w:color w:val="000000" w:themeColor="text1"/>
          <w:sz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2C566E" w:rsidRPr="006372C1" w:rsidRDefault="002C566E" w:rsidP="00CE7E2D">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21</w:t>
      </w:r>
      <w:r w:rsidRPr="006372C1">
        <w:rPr>
          <w:rFonts w:ascii="Times New Roman" w:hAnsi="Times New Roman" w:cs="Times New Roman"/>
          <w:color w:val="000000" w:themeColor="text1"/>
          <w:sz w:val="24"/>
        </w:rPr>
        <w:t>. Kitais Taisyklių 11</w:t>
      </w:r>
      <w:r w:rsidR="009D73DD"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xml:space="preserve"> ir 1</w:t>
      </w:r>
      <w:r w:rsidR="009D73DD" w:rsidRPr="006372C1">
        <w:rPr>
          <w:rFonts w:ascii="Times New Roman" w:hAnsi="Times New Roman" w:cs="Times New Roman"/>
          <w:color w:val="000000" w:themeColor="text1"/>
          <w:sz w:val="24"/>
        </w:rPr>
        <w:t>20</w:t>
      </w:r>
      <w:r w:rsidRPr="006372C1">
        <w:rPr>
          <w:rFonts w:ascii="Times New Roman" w:hAnsi="Times New Roman" w:cs="Times New Roman"/>
          <w:color w:val="000000" w:themeColor="text1"/>
          <w:sz w:val="24"/>
        </w:rPr>
        <w:t xml:space="preserve"> punktuose nepaminėtais atvejais, kai Taisyklių nustatyta tvarka gali būti vykdoma apklausa, perkančioji organizacija gali kreiptis ir į vieną tiekėją.</w:t>
      </w:r>
    </w:p>
    <w:p w:rsidR="002C566E" w:rsidRDefault="002C566E" w:rsidP="00CE7E2D">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22</w:t>
      </w:r>
      <w:r w:rsidRPr="006372C1">
        <w:rPr>
          <w:rFonts w:ascii="Times New Roman" w:hAnsi="Times New Roman" w:cs="Times New Roman"/>
          <w:color w:val="000000" w:themeColor="text1"/>
          <w:sz w:val="24"/>
        </w:rPr>
        <w:t>. Jei apklausos metu numatoma vykdyti elektroninį aukcioną, apie tai tiekėjams pranešama pirkimo dokumentuose.</w:t>
      </w:r>
    </w:p>
    <w:p w:rsidR="000F6799" w:rsidRDefault="000F6799" w:rsidP="00CE7E2D">
      <w:pPr>
        <w:widowControl/>
        <w:tabs>
          <w:tab w:val="left" w:pos="648"/>
        </w:tabs>
        <w:jc w:val="both"/>
        <w:rPr>
          <w:rFonts w:ascii="Times New Roman" w:hAnsi="Times New Roman" w:cs="Times New Roman"/>
          <w:color w:val="000000" w:themeColor="text1"/>
          <w:sz w:val="24"/>
        </w:rPr>
      </w:pPr>
    </w:p>
    <w:p w:rsidR="000F6799" w:rsidRDefault="000F6799" w:rsidP="00CE7E2D">
      <w:pPr>
        <w:widowControl/>
        <w:tabs>
          <w:tab w:val="left" w:pos="648"/>
        </w:tabs>
        <w:jc w:val="both"/>
        <w:rPr>
          <w:rFonts w:ascii="Times New Roman" w:hAnsi="Times New Roman" w:cs="Times New Roman"/>
          <w:color w:val="000000" w:themeColor="text1"/>
          <w:sz w:val="24"/>
        </w:rPr>
      </w:pPr>
    </w:p>
    <w:p w:rsidR="000F6799" w:rsidRDefault="000F6799" w:rsidP="00CE7E2D">
      <w:pPr>
        <w:widowControl/>
        <w:tabs>
          <w:tab w:val="left" w:pos="648"/>
        </w:tabs>
        <w:jc w:val="both"/>
        <w:rPr>
          <w:rFonts w:ascii="Times New Roman" w:hAnsi="Times New Roman" w:cs="Times New Roman"/>
          <w:color w:val="000000" w:themeColor="text1"/>
          <w:sz w:val="24"/>
        </w:rPr>
      </w:pPr>
    </w:p>
    <w:p w:rsidR="000F6799" w:rsidRPr="006372C1" w:rsidRDefault="000F6799" w:rsidP="00CE7E2D">
      <w:pPr>
        <w:widowControl/>
        <w:tabs>
          <w:tab w:val="left" w:pos="648"/>
        </w:tabs>
        <w:jc w:val="both"/>
        <w:rPr>
          <w:rFonts w:ascii="Times New Roman" w:hAnsi="Times New Roman" w:cs="Times New Roman"/>
          <w:color w:val="000000" w:themeColor="text1"/>
          <w:sz w:val="24"/>
        </w:rPr>
      </w:pPr>
    </w:p>
    <w:p w:rsidR="002C566E" w:rsidRPr="006372C1" w:rsidRDefault="002C566E" w:rsidP="00264D99">
      <w:pPr>
        <w:ind w:firstLine="741"/>
        <w:jc w:val="both"/>
        <w:rPr>
          <w:rFonts w:ascii="Times New Roman" w:hAnsi="Times New Roman" w:cs="Times New Roman"/>
          <w:b/>
          <w:color w:val="000000" w:themeColor="text1"/>
          <w:sz w:val="24"/>
        </w:rPr>
      </w:pPr>
    </w:p>
    <w:p w:rsidR="000F6799" w:rsidRDefault="002C566E" w:rsidP="0016466A">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XV. </w:t>
      </w:r>
      <w:r w:rsidR="000F6799">
        <w:rPr>
          <w:rFonts w:ascii="Times New Roman" w:hAnsi="Times New Roman" w:cs="Times New Roman"/>
          <w:b/>
          <w:color w:val="000000" w:themeColor="text1"/>
          <w:sz w:val="24"/>
        </w:rPr>
        <w:t>SKYRIUS</w:t>
      </w:r>
    </w:p>
    <w:p w:rsidR="002C566E" w:rsidRPr="006372C1" w:rsidRDefault="002C566E" w:rsidP="0016466A">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SUPAPRASTINTAS PROJEKTO KONKURSAS</w:t>
      </w:r>
    </w:p>
    <w:p w:rsidR="002C566E" w:rsidRPr="006372C1" w:rsidRDefault="002C566E" w:rsidP="0016466A">
      <w:pPr>
        <w:widowControl/>
        <w:tabs>
          <w:tab w:val="left" w:pos="648"/>
        </w:tabs>
        <w:jc w:val="both"/>
        <w:rPr>
          <w:rFonts w:ascii="Times New Roman" w:hAnsi="Times New Roman" w:cs="Times New Roman"/>
          <w:color w:val="000000" w:themeColor="text1"/>
          <w:sz w:val="24"/>
        </w:rPr>
      </w:pPr>
    </w:p>
    <w:p w:rsidR="002C566E" w:rsidRPr="006372C1" w:rsidRDefault="002C566E" w:rsidP="0016466A">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23</w:t>
      </w:r>
      <w:r w:rsidRPr="006372C1">
        <w:rPr>
          <w:rFonts w:ascii="Times New Roman" w:hAnsi="Times New Roman" w:cs="Times New Roman"/>
          <w:color w:val="000000" w:themeColor="text1"/>
          <w:sz w:val="24"/>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C566E" w:rsidRPr="006372C1" w:rsidRDefault="002C566E" w:rsidP="0016466A">
      <w:pPr>
        <w:widowControl/>
        <w:tabs>
          <w:tab w:val="left" w:pos="806"/>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23</w:t>
      </w:r>
      <w:r w:rsidRPr="006372C1">
        <w:rPr>
          <w:rFonts w:ascii="Times New Roman" w:hAnsi="Times New Roman" w:cs="Times New Roman"/>
          <w:color w:val="000000" w:themeColor="text1"/>
          <w:sz w:val="24"/>
        </w:rPr>
        <w:t>.1. su supaprastinto projekto konkurso laimėtoju numatyta pasirašyti paslaugų pirkimo sutartį, arba</w:t>
      </w:r>
    </w:p>
    <w:p w:rsidR="002C566E" w:rsidRPr="006372C1" w:rsidRDefault="002C566E" w:rsidP="0016466A">
      <w:pPr>
        <w:widowControl/>
        <w:tabs>
          <w:tab w:val="left" w:pos="797"/>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23</w:t>
      </w:r>
      <w:r w:rsidRPr="006372C1">
        <w:rPr>
          <w:rFonts w:ascii="Times New Roman" w:hAnsi="Times New Roman" w:cs="Times New Roman"/>
          <w:color w:val="000000" w:themeColor="text1"/>
          <w:sz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C566E" w:rsidRPr="006372C1" w:rsidRDefault="002C566E" w:rsidP="0016466A">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24</w:t>
      </w:r>
      <w:r w:rsidRPr="006372C1">
        <w:rPr>
          <w:rFonts w:ascii="Times New Roman" w:hAnsi="Times New Roman" w:cs="Times New Roman"/>
          <w:color w:val="000000" w:themeColor="text1"/>
          <w:sz w:val="24"/>
        </w:rPr>
        <w:t>. Perkančioji organizacija supaprastinto projekto konkursą gali vykdyti supaprastinto atviro arba supaprastinto riboto projekto konkurso būdu.</w:t>
      </w:r>
    </w:p>
    <w:p w:rsidR="002C566E" w:rsidRPr="006372C1" w:rsidRDefault="002C566E" w:rsidP="0016466A">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25</w:t>
      </w:r>
      <w:r w:rsidRPr="006372C1">
        <w:rPr>
          <w:rFonts w:ascii="Times New Roman" w:hAnsi="Times New Roman" w:cs="Times New Roman"/>
          <w:color w:val="000000" w:themeColor="text1"/>
          <w:sz w:val="24"/>
        </w:rPr>
        <w:t>. Projektų pateikimo terminas supaprastinto atviro projekto konkursui negali būti trumpesnis kaip 10 darbo dienų nuo skelbimo paskelbimo CVP IS dienos, mažos vertės pirkimo atveju – 7 darbo dienos nuo paskelbimo CVP IS dienos.</w:t>
      </w:r>
    </w:p>
    <w:p w:rsidR="002C566E" w:rsidRPr="006372C1" w:rsidRDefault="002C566E" w:rsidP="0016466A">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26</w:t>
      </w:r>
      <w:r w:rsidRPr="006372C1">
        <w:rPr>
          <w:rFonts w:ascii="Times New Roman" w:hAnsi="Times New Roman" w:cs="Times New Roman"/>
          <w:color w:val="000000" w:themeColor="text1"/>
          <w:sz w:val="24"/>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2C566E" w:rsidRPr="006372C1" w:rsidRDefault="002C566E" w:rsidP="0016466A">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27</w:t>
      </w:r>
      <w:r w:rsidRPr="006372C1">
        <w:rPr>
          <w:rFonts w:ascii="Times New Roman" w:hAnsi="Times New Roman" w:cs="Times New Roman"/>
          <w:color w:val="000000" w:themeColor="text1"/>
          <w:sz w:val="24"/>
        </w:rPr>
        <w:t>. Dalyvių skaičius supaprastintame atvirame projekto konkurse neribojamas.</w:t>
      </w:r>
    </w:p>
    <w:p w:rsidR="002C566E" w:rsidRPr="006372C1" w:rsidRDefault="002C566E" w:rsidP="0016466A">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28</w:t>
      </w:r>
      <w:r w:rsidRPr="006372C1">
        <w:rPr>
          <w:rFonts w:ascii="Times New Roman" w:hAnsi="Times New Roman" w:cs="Times New Roman"/>
          <w:color w:val="000000" w:themeColor="text1"/>
          <w:sz w:val="24"/>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C566E" w:rsidRPr="006372C1" w:rsidRDefault="002C566E" w:rsidP="0016466A">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12</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Perkančioji organizacija supaprastintą riboto projekto konkursą vykdo etapais:</w:t>
      </w:r>
    </w:p>
    <w:p w:rsidR="002C566E" w:rsidRPr="006372C1" w:rsidRDefault="002C566E" w:rsidP="0016466A">
      <w:pPr>
        <w:widowControl/>
        <w:tabs>
          <w:tab w:val="left" w:pos="81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12</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.1. Viešųjų pirkimų įstatymo ir Taisyklių nustatyta tvarka skelbia apie supaprastintą ribotą projekto konkursą ir, vadovaudamasi paskelbtais kvalifikacinės atrankos kriterijais, atrenka tuos kandidatus, kurie bus kviečiami pateikti projektus;</w:t>
      </w:r>
    </w:p>
    <w:p w:rsidR="002C566E" w:rsidRPr="006372C1" w:rsidRDefault="002C566E" w:rsidP="0016466A">
      <w:pPr>
        <w:widowControl/>
        <w:tabs>
          <w:tab w:val="left" w:pos="81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12</w:t>
      </w:r>
      <w:r w:rsidR="00093B83"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.2. vadovaudamasi supaprastinto projekto konkurso dokumentuose nustatyta projektų vertinimo tvarka, nagrinėja, vertina ir palygina pakviestų dalyvių pateiktus projektus.</w:t>
      </w:r>
    </w:p>
    <w:p w:rsidR="002C566E" w:rsidRPr="006372C1" w:rsidRDefault="002C566E" w:rsidP="0016466A">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30</w:t>
      </w:r>
      <w:r w:rsidRPr="006372C1">
        <w:rPr>
          <w:rFonts w:ascii="Times New Roman" w:hAnsi="Times New Roman" w:cs="Times New Roman"/>
          <w:color w:val="000000" w:themeColor="text1"/>
          <w:sz w:val="24"/>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2C566E" w:rsidRPr="006372C1" w:rsidRDefault="002C566E" w:rsidP="0016466A">
      <w:pPr>
        <w:widowControl/>
        <w:tabs>
          <w:tab w:val="left" w:pos="648"/>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31</w:t>
      </w:r>
      <w:r w:rsidRPr="006372C1">
        <w:rPr>
          <w:rFonts w:ascii="Times New Roman" w:hAnsi="Times New Roman" w:cs="Times New Roman"/>
          <w:color w:val="000000" w:themeColor="text1"/>
          <w:sz w:val="24"/>
        </w:rPr>
        <w:t>. Perkančioji organizacija, nustatydama kvalifikacinės atrankos kriterijus, privalo laikytis Taisyklių 1</w:t>
      </w:r>
      <w:r w:rsidR="00276768" w:rsidRPr="006372C1">
        <w:rPr>
          <w:rFonts w:ascii="Times New Roman" w:hAnsi="Times New Roman" w:cs="Times New Roman"/>
          <w:color w:val="000000" w:themeColor="text1"/>
          <w:sz w:val="24"/>
        </w:rPr>
        <w:t>12.1.</w:t>
      </w:r>
      <w:r w:rsidRPr="006372C1">
        <w:rPr>
          <w:rFonts w:ascii="Times New Roman" w:hAnsi="Times New Roman" w:cs="Times New Roman"/>
          <w:color w:val="000000" w:themeColor="text1"/>
          <w:sz w:val="24"/>
        </w:rPr>
        <w:t xml:space="preserve"> punkte nustatytų reikalavimų.</w:t>
      </w:r>
    </w:p>
    <w:p w:rsidR="002C566E" w:rsidRPr="006372C1" w:rsidRDefault="002C566E" w:rsidP="0016466A">
      <w:pPr>
        <w:widowControl/>
        <w:tabs>
          <w:tab w:val="left" w:pos="672"/>
        </w:tabs>
        <w:jc w:val="both"/>
        <w:rPr>
          <w:rFonts w:ascii="Times New Roman" w:hAnsi="Times New Roman" w:cs="Times New Roman"/>
          <w:color w:val="000000" w:themeColor="text1"/>
          <w:sz w:val="24"/>
          <w:lang w:eastAsia="en-US"/>
        </w:rPr>
      </w:pPr>
      <w:r w:rsidRPr="006372C1">
        <w:rPr>
          <w:rFonts w:ascii="Times New Roman" w:hAnsi="Times New Roman" w:cs="Times New Roman"/>
          <w:color w:val="000000" w:themeColor="text1"/>
          <w:sz w:val="24"/>
          <w:lang w:eastAsia="en-US"/>
        </w:rPr>
        <w:t>1</w:t>
      </w:r>
      <w:r w:rsidR="00093B83" w:rsidRPr="006372C1">
        <w:rPr>
          <w:rFonts w:ascii="Times New Roman" w:hAnsi="Times New Roman" w:cs="Times New Roman"/>
          <w:color w:val="000000" w:themeColor="text1"/>
          <w:sz w:val="24"/>
          <w:lang w:eastAsia="en-US"/>
        </w:rPr>
        <w:t>32</w:t>
      </w:r>
      <w:r w:rsidRPr="006372C1">
        <w:rPr>
          <w:rFonts w:ascii="Times New Roman" w:hAnsi="Times New Roman" w:cs="Times New Roman"/>
          <w:color w:val="000000" w:themeColor="text1"/>
          <w:sz w:val="24"/>
          <w:lang w:eastAsia="en-US"/>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C566E" w:rsidRPr="006372C1" w:rsidRDefault="002C566E" w:rsidP="0016466A">
      <w:pPr>
        <w:widowControl/>
        <w:tabs>
          <w:tab w:val="left" w:pos="672"/>
        </w:tabs>
        <w:jc w:val="both"/>
        <w:rPr>
          <w:rFonts w:ascii="Times New Roman" w:hAnsi="Times New Roman" w:cs="Times New Roman"/>
          <w:color w:val="000000" w:themeColor="text1"/>
          <w:sz w:val="24"/>
          <w:lang w:eastAsia="en-US"/>
        </w:rPr>
      </w:pPr>
      <w:r w:rsidRPr="006372C1">
        <w:rPr>
          <w:rFonts w:ascii="Times New Roman" w:hAnsi="Times New Roman" w:cs="Times New Roman"/>
          <w:color w:val="000000" w:themeColor="text1"/>
          <w:sz w:val="24"/>
          <w:lang w:eastAsia="en-US"/>
        </w:rPr>
        <w:t>1</w:t>
      </w:r>
      <w:r w:rsidR="00093B83" w:rsidRPr="006372C1">
        <w:rPr>
          <w:rFonts w:ascii="Times New Roman" w:hAnsi="Times New Roman" w:cs="Times New Roman"/>
          <w:color w:val="000000" w:themeColor="text1"/>
          <w:sz w:val="24"/>
          <w:lang w:eastAsia="en-US"/>
        </w:rPr>
        <w:t>33</w:t>
      </w:r>
      <w:r w:rsidRPr="006372C1">
        <w:rPr>
          <w:rFonts w:ascii="Times New Roman" w:hAnsi="Times New Roman" w:cs="Times New Roman"/>
          <w:color w:val="000000" w:themeColor="text1"/>
          <w:sz w:val="24"/>
          <w:lang w:eastAsia="en-US"/>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C566E" w:rsidRPr="006372C1" w:rsidRDefault="002C566E" w:rsidP="0016466A">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lastRenderedPageBreak/>
        <w:t>1</w:t>
      </w:r>
      <w:r w:rsidR="00093B83" w:rsidRPr="006372C1">
        <w:rPr>
          <w:rFonts w:ascii="Times New Roman" w:hAnsi="Times New Roman" w:cs="Times New Roman"/>
          <w:color w:val="000000" w:themeColor="text1"/>
          <w:sz w:val="24"/>
        </w:rPr>
        <w:t>34</w:t>
      </w:r>
      <w:r w:rsidRPr="006372C1">
        <w:rPr>
          <w:rFonts w:ascii="Times New Roman" w:hAnsi="Times New Roman" w:cs="Times New Roman"/>
          <w:color w:val="000000" w:themeColor="text1"/>
          <w:sz w:val="24"/>
        </w:rPr>
        <w:t>. Komisija vertina, palygina tik tuos projektus, kurie atitinka supaprastinto projekto konkurso dokumentuose išdėstytus reikalavimus. Projektai vertinami nedalyvaujant juos pateikusiems tiekėjams. Vertinami tik anonimiškai pateikti projektai.</w:t>
      </w:r>
    </w:p>
    <w:p w:rsidR="002C566E" w:rsidRPr="006372C1" w:rsidRDefault="002C566E" w:rsidP="0016466A">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35</w:t>
      </w:r>
      <w:r w:rsidRPr="006372C1">
        <w:rPr>
          <w:rFonts w:ascii="Times New Roman" w:hAnsi="Times New Roman" w:cs="Times New Roman"/>
          <w:color w:val="000000" w:themeColor="text1"/>
          <w:sz w:val="24"/>
        </w:rPr>
        <w:t>. Komisija privalo atmesti tuos projektus, kurie:</w:t>
      </w:r>
    </w:p>
    <w:p w:rsidR="002C566E" w:rsidRPr="006372C1" w:rsidRDefault="002C566E" w:rsidP="0016466A">
      <w:pPr>
        <w:widowControl/>
        <w:tabs>
          <w:tab w:val="left" w:pos="82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35</w:t>
      </w:r>
      <w:r w:rsidRPr="006372C1">
        <w:rPr>
          <w:rFonts w:ascii="Times New Roman" w:hAnsi="Times New Roman" w:cs="Times New Roman"/>
          <w:color w:val="000000" w:themeColor="text1"/>
          <w:sz w:val="24"/>
        </w:rPr>
        <w:t>.1. išsiųsti ar gauti po perkančiosios organizacijos nustatyto galutinio projektų pateikimo termino;</w:t>
      </w:r>
    </w:p>
    <w:p w:rsidR="002C566E" w:rsidRPr="006372C1" w:rsidRDefault="002C566E" w:rsidP="0016466A">
      <w:pPr>
        <w:widowControl/>
        <w:tabs>
          <w:tab w:val="left" w:pos="82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35</w:t>
      </w:r>
      <w:r w:rsidRPr="006372C1">
        <w:rPr>
          <w:rFonts w:ascii="Times New Roman" w:hAnsi="Times New Roman" w:cs="Times New Roman"/>
          <w:color w:val="000000" w:themeColor="text1"/>
          <w:sz w:val="24"/>
        </w:rPr>
        <w:t>.2. pateikti pažeidžiant anonimiškumą;</w:t>
      </w:r>
    </w:p>
    <w:p w:rsidR="002C566E" w:rsidRPr="006372C1" w:rsidRDefault="002C566E" w:rsidP="0016466A">
      <w:pPr>
        <w:widowControl/>
        <w:tabs>
          <w:tab w:val="left" w:pos="82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35</w:t>
      </w:r>
      <w:r w:rsidRPr="006372C1">
        <w:rPr>
          <w:rFonts w:ascii="Times New Roman" w:hAnsi="Times New Roman" w:cs="Times New Roman"/>
          <w:color w:val="000000" w:themeColor="text1"/>
          <w:sz w:val="24"/>
        </w:rPr>
        <w:t>.3. neatitinka supaprastinto projekto konkurso dokumentuose išdėstytų reikalavimų.</w:t>
      </w:r>
    </w:p>
    <w:p w:rsidR="002C566E" w:rsidRPr="006372C1" w:rsidRDefault="002C566E" w:rsidP="0016466A">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36</w:t>
      </w:r>
      <w:r w:rsidRPr="006372C1">
        <w:rPr>
          <w:rFonts w:ascii="Times New Roman" w:hAnsi="Times New Roman" w:cs="Times New Roman"/>
          <w:color w:val="000000" w:themeColor="text1"/>
          <w:sz w:val="24"/>
        </w:rPr>
        <w:t xml:space="preserve">. Pateikti projektai vertinami pagal supaprastinto projekto konkurso dokumentuose nustatytus vertinimo kriterijus, numatytus Taisyklių </w:t>
      </w:r>
      <w:r w:rsidR="00DC5929" w:rsidRPr="006372C1">
        <w:rPr>
          <w:rFonts w:ascii="Times New Roman" w:hAnsi="Times New Roman" w:cs="Times New Roman"/>
          <w:color w:val="000000" w:themeColor="text1"/>
          <w:sz w:val="24"/>
        </w:rPr>
        <w:t>76</w:t>
      </w:r>
      <w:r w:rsidRPr="006372C1">
        <w:rPr>
          <w:rFonts w:ascii="Times New Roman" w:hAnsi="Times New Roman" w:cs="Times New Roman"/>
          <w:color w:val="000000" w:themeColor="text1"/>
          <w:sz w:val="24"/>
        </w:rPr>
        <w:t xml:space="preserve"> ir </w:t>
      </w:r>
      <w:r w:rsidR="00DC5929" w:rsidRPr="006372C1">
        <w:rPr>
          <w:rFonts w:ascii="Times New Roman" w:hAnsi="Times New Roman" w:cs="Times New Roman"/>
          <w:color w:val="000000" w:themeColor="text1"/>
          <w:sz w:val="24"/>
        </w:rPr>
        <w:t>78</w:t>
      </w:r>
      <w:r w:rsidRPr="006372C1">
        <w:rPr>
          <w:rFonts w:ascii="Times New Roman" w:hAnsi="Times New Roman" w:cs="Times New Roman"/>
          <w:color w:val="000000" w:themeColor="text1"/>
          <w:sz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C566E" w:rsidRPr="006372C1" w:rsidRDefault="002C566E" w:rsidP="0016466A">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37</w:t>
      </w:r>
      <w:r w:rsidRPr="006372C1">
        <w:rPr>
          <w:rFonts w:ascii="Times New Roman" w:hAnsi="Times New Roman" w:cs="Times New Roman"/>
          <w:color w:val="000000" w:themeColor="text1"/>
          <w:sz w:val="24"/>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C566E" w:rsidRPr="006372C1" w:rsidRDefault="002C566E" w:rsidP="0016466A">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38</w:t>
      </w:r>
      <w:r w:rsidRPr="006372C1">
        <w:rPr>
          <w:rFonts w:ascii="Times New Roman" w:hAnsi="Times New Roman" w:cs="Times New Roman"/>
          <w:color w:val="000000" w:themeColor="text1"/>
          <w:sz w:val="24"/>
        </w:rPr>
        <w:t>. Komisija gali ir neskirti pirmosios vietos, jeigu mano, kad pateikti projektai atitinka formalius reikalavimus, tačiau, atsižvelgiant į projekto konkurso dokumentuose nurodytus tikslus, perkančiajai organizacijai yra nepriimtini.</w:t>
      </w:r>
    </w:p>
    <w:p w:rsidR="002C566E" w:rsidRPr="006372C1" w:rsidRDefault="002C566E" w:rsidP="0016466A">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39</w:t>
      </w:r>
      <w:r w:rsidRPr="006372C1">
        <w:rPr>
          <w:rFonts w:ascii="Times New Roman" w:hAnsi="Times New Roman" w:cs="Times New Roman"/>
          <w:color w:val="000000" w:themeColor="text1"/>
          <w:sz w:val="24"/>
        </w:rPr>
        <w:t>. Perkančioji organizacija privalo grąžinti projekto konkurso dalyviams nelaimėjusius projektus iki konkurso dokumentuose nurodytos datos.</w:t>
      </w:r>
    </w:p>
    <w:p w:rsidR="002C566E" w:rsidRPr="006372C1" w:rsidRDefault="002C566E" w:rsidP="0016466A">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40</w:t>
      </w:r>
      <w:r w:rsidRPr="006372C1">
        <w:rPr>
          <w:rFonts w:ascii="Times New Roman" w:hAnsi="Times New Roman" w:cs="Times New Roman"/>
          <w:color w:val="000000" w:themeColor="text1"/>
          <w:sz w:val="24"/>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2C566E" w:rsidRPr="006372C1" w:rsidRDefault="002C566E" w:rsidP="0016466A">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41</w:t>
      </w:r>
      <w:r w:rsidRPr="006372C1">
        <w:rPr>
          <w:rFonts w:ascii="Times New Roman" w:hAnsi="Times New Roman" w:cs="Times New Roman"/>
          <w:color w:val="000000" w:themeColor="text1"/>
          <w:sz w:val="24"/>
        </w:rPr>
        <w:t>. Perkančioji organizacija turi teisę supaprastinto projekto konkurso laimėtoją, laimėtojus ar dalyvius apdovanoti prizais ar kitaip atsilyginti už dalyvavimą supaprastinto projekto konkurse.</w:t>
      </w:r>
    </w:p>
    <w:p w:rsidR="002C566E" w:rsidRPr="006372C1" w:rsidRDefault="002C566E" w:rsidP="00EF5218">
      <w:pPr>
        <w:widowControl/>
        <w:jc w:val="both"/>
        <w:rPr>
          <w:rFonts w:ascii="Times New Roman" w:hAnsi="Times New Roman" w:cs="Times New Roman"/>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XVI.</w:t>
      </w:r>
      <w:r w:rsidR="000F6799">
        <w:rPr>
          <w:rFonts w:ascii="Times New Roman" w:hAnsi="Times New Roman" w:cs="Times New Roman"/>
          <w:b/>
          <w:color w:val="000000" w:themeColor="text1"/>
          <w:sz w:val="24"/>
        </w:rPr>
        <w:t xml:space="preserve"> 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 MAŽOS VERTĖS PIRKIMO YPATUMAI</w:t>
      </w:r>
    </w:p>
    <w:p w:rsidR="002C566E" w:rsidRPr="006372C1" w:rsidRDefault="002C566E" w:rsidP="00EF5218">
      <w:pPr>
        <w:widowControl/>
        <w:tabs>
          <w:tab w:val="left" w:pos="672"/>
        </w:tabs>
        <w:jc w:val="both"/>
        <w:rPr>
          <w:rFonts w:ascii="Times New Roman" w:hAnsi="Times New Roman" w:cs="Times New Roman"/>
          <w:color w:val="000000" w:themeColor="text1"/>
          <w:sz w:val="24"/>
        </w:rPr>
      </w:pPr>
    </w:p>
    <w:p w:rsidR="002C566E" w:rsidRPr="006372C1" w:rsidRDefault="002C566E" w:rsidP="00EF5218">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42</w:t>
      </w:r>
      <w:r w:rsidRPr="006372C1">
        <w:rPr>
          <w:rFonts w:ascii="Times New Roman" w:hAnsi="Times New Roman" w:cs="Times New Roman"/>
          <w:color w:val="000000" w:themeColor="text1"/>
          <w:sz w:val="24"/>
        </w:rPr>
        <w:t>. Mažos vertės pirkimas gali būti atliekamas visais Taisyklėse nustatytais supaprastintų pirkimų būdais, atsižvelgiant į šių būdų pasirinkimo sąlygas.</w:t>
      </w:r>
    </w:p>
    <w:p w:rsidR="002C566E" w:rsidRPr="006372C1" w:rsidRDefault="002C566E" w:rsidP="00EF5218">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43</w:t>
      </w:r>
      <w:r w:rsidRPr="006372C1">
        <w:rPr>
          <w:rFonts w:ascii="Times New Roman" w:hAnsi="Times New Roman" w:cs="Times New Roman"/>
          <w:color w:val="000000" w:themeColor="text1"/>
          <w:sz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2C566E" w:rsidRPr="006372C1" w:rsidRDefault="002C566E" w:rsidP="00EF5218">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44</w:t>
      </w:r>
      <w:r w:rsidRPr="006372C1">
        <w:rPr>
          <w:rFonts w:ascii="Times New Roman" w:hAnsi="Times New Roman" w:cs="Times New Roman"/>
          <w:color w:val="000000" w:themeColor="text1"/>
          <w:sz w:val="24"/>
        </w:rPr>
        <w:t>. Perkančioji organizacija turi nustatyti pakankamą terminą kreiptis dėl pirkimo dokumentų paaiškinimo ir užtikrinti, kad paaiškinimai būtų išsiųsti visiems pirkimo dokumentus gavusiems tiekėjams.</w:t>
      </w:r>
    </w:p>
    <w:p w:rsidR="002C566E" w:rsidRPr="006372C1" w:rsidRDefault="002C566E" w:rsidP="00EF5218">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093B83" w:rsidRPr="006372C1">
        <w:rPr>
          <w:rFonts w:ascii="Times New Roman" w:hAnsi="Times New Roman" w:cs="Times New Roman"/>
          <w:color w:val="000000" w:themeColor="text1"/>
          <w:sz w:val="24"/>
        </w:rPr>
        <w:t>45</w:t>
      </w:r>
      <w:r w:rsidRPr="006372C1">
        <w:rPr>
          <w:rFonts w:ascii="Times New Roman" w:hAnsi="Times New Roman" w:cs="Times New Roman"/>
          <w:color w:val="000000" w:themeColor="text1"/>
          <w:sz w:val="24"/>
        </w:rPr>
        <w:t xml:space="preserve">.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w:t>
      </w:r>
      <w:r w:rsidRPr="006372C1">
        <w:rPr>
          <w:rFonts w:ascii="Times New Roman" w:hAnsi="Times New Roman" w:cs="Times New Roman"/>
          <w:color w:val="000000" w:themeColor="text1"/>
          <w:sz w:val="24"/>
        </w:rPr>
        <w:lastRenderedPageBreak/>
        <w:t>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C566E" w:rsidRPr="006372C1" w:rsidRDefault="002C566E" w:rsidP="00EF5218">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46</w:t>
      </w:r>
      <w:r w:rsidRPr="006372C1">
        <w:rPr>
          <w:rFonts w:ascii="Times New Roman" w:hAnsi="Times New Roman" w:cs="Times New Roman"/>
          <w:color w:val="000000" w:themeColor="text1"/>
          <w:sz w:val="24"/>
        </w:rPr>
        <w:t>. Bendravimas su tiekėjais gali vykti žodžiu arba raštu. Žodžiu gali būti bendraujama (kreipiamasi į tiekėjus, pateikiami pasiūlymai), kai pirkimas vykdomas apklausos būdu ir:</w:t>
      </w:r>
    </w:p>
    <w:p w:rsidR="002C566E" w:rsidRPr="006372C1" w:rsidRDefault="002C566E" w:rsidP="00EF5218">
      <w:pPr>
        <w:widowControl/>
        <w:tabs>
          <w:tab w:val="left" w:pos="821"/>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46</w:t>
      </w:r>
      <w:r w:rsidRPr="006372C1">
        <w:rPr>
          <w:rFonts w:ascii="Times New Roman" w:hAnsi="Times New Roman" w:cs="Times New Roman"/>
          <w:color w:val="000000" w:themeColor="text1"/>
          <w:sz w:val="24"/>
        </w:rPr>
        <w:t xml:space="preserve">.1. pirkimo sutarties vertė neviršija </w:t>
      </w:r>
      <w:r w:rsidR="00EE65E7" w:rsidRPr="006372C1">
        <w:rPr>
          <w:rFonts w:ascii="Times New Roman" w:hAnsi="Times New Roman" w:cs="Times New Roman"/>
          <w:color w:val="000000" w:themeColor="text1"/>
          <w:sz w:val="24"/>
        </w:rPr>
        <w:t>3</w:t>
      </w:r>
      <w:r w:rsidRPr="006372C1">
        <w:rPr>
          <w:rFonts w:ascii="Times New Roman" w:hAnsi="Times New Roman" w:cs="Times New Roman"/>
          <w:color w:val="000000" w:themeColor="text1"/>
          <w:sz w:val="24"/>
        </w:rPr>
        <w:t xml:space="preserve"> 000 </w:t>
      </w:r>
      <w:r w:rsidR="00EE65E7" w:rsidRPr="006372C1">
        <w:rPr>
          <w:rFonts w:ascii="Times New Roman" w:hAnsi="Times New Roman" w:cs="Times New Roman"/>
          <w:color w:val="000000" w:themeColor="text1"/>
          <w:sz w:val="24"/>
        </w:rPr>
        <w:t>eurų</w:t>
      </w:r>
      <w:r w:rsidRPr="006372C1">
        <w:rPr>
          <w:rFonts w:ascii="Times New Roman" w:hAnsi="Times New Roman" w:cs="Times New Roman"/>
          <w:color w:val="000000" w:themeColor="text1"/>
          <w:sz w:val="24"/>
        </w:rPr>
        <w:t xml:space="preserve"> (be </w:t>
      </w:r>
      <w:r w:rsidR="00EE65E7" w:rsidRPr="006372C1">
        <w:rPr>
          <w:rFonts w:ascii="Times New Roman" w:hAnsi="Times New Roman" w:cs="Times New Roman"/>
          <w:color w:val="000000" w:themeColor="text1"/>
          <w:sz w:val="24"/>
        </w:rPr>
        <w:t>pridėtinės vertės mokesčio</w:t>
      </w:r>
      <w:r w:rsidRPr="006372C1">
        <w:rPr>
          <w:rFonts w:ascii="Times New Roman" w:hAnsi="Times New Roman" w:cs="Times New Roman"/>
          <w:color w:val="000000" w:themeColor="text1"/>
          <w:sz w:val="24"/>
        </w:rPr>
        <w:t>);</w:t>
      </w:r>
    </w:p>
    <w:p w:rsidR="002C566E" w:rsidRPr="006372C1" w:rsidRDefault="002C566E" w:rsidP="00EF5218">
      <w:pPr>
        <w:widowControl/>
        <w:tabs>
          <w:tab w:val="left" w:pos="80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46</w:t>
      </w:r>
      <w:r w:rsidRPr="006372C1">
        <w:rPr>
          <w:rFonts w:ascii="Times New Roman" w:hAnsi="Times New Roman" w:cs="Times New Roman"/>
          <w:color w:val="000000" w:themeColor="text1"/>
          <w:sz w:val="24"/>
        </w:rPr>
        <w:t>.2. dėl įvykių, kurių perkančioji organizacija negalėjo iš anksto numatyti, būtina skubiai įsigyti reikalingų prekių, paslaugų ar darbų, o vykdant apklausą raštu prekių, paslaugų ar darbų nepavyktų įsigyti laiku.</w:t>
      </w:r>
    </w:p>
    <w:p w:rsidR="002C566E" w:rsidRPr="006372C1" w:rsidRDefault="002C566E" w:rsidP="00EF5218">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47</w:t>
      </w:r>
      <w:r w:rsidRPr="006372C1">
        <w:rPr>
          <w:rFonts w:ascii="Times New Roman" w:hAnsi="Times New Roman" w:cs="Times New Roman"/>
          <w:color w:val="000000" w:themeColor="text1"/>
          <w:sz w:val="24"/>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2C566E" w:rsidRPr="006372C1" w:rsidRDefault="002C566E" w:rsidP="00EF5218">
      <w:pPr>
        <w:widowControl/>
        <w:tabs>
          <w:tab w:val="left" w:pos="67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48</w:t>
      </w:r>
      <w:r w:rsidRPr="006372C1">
        <w:rPr>
          <w:rFonts w:ascii="Times New Roman" w:hAnsi="Times New Roman" w:cs="Times New Roman"/>
          <w:color w:val="000000" w:themeColor="text1"/>
          <w:sz w:val="24"/>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trijų Komisijos narių, įgaliotų atidaryti pasiūlymus, nedalyvaujant tiekėjams (jų atstovams). Informacija apie šią procedūrą ir tiekėjų pasiūlytas kainas, jei reikia – ir technines charakteristikas, tiekėjams siunčiama CVP IS priemonėmis.</w:t>
      </w:r>
    </w:p>
    <w:p w:rsidR="002C566E" w:rsidRPr="006372C1" w:rsidRDefault="002C566E" w:rsidP="00EF5218">
      <w:pPr>
        <w:widowControl/>
        <w:tabs>
          <w:tab w:val="left" w:pos="643"/>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14</w:t>
      </w:r>
      <w:r w:rsidR="00462E94"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Komisija ir pirkimų organizatorius, vykdydami mažos vertės pirkimą, gali netaikyti vokų su pasiūlymais atplėšimo ir pasiūlymų nagrinėjimo procedūrų.</w:t>
      </w:r>
    </w:p>
    <w:p w:rsidR="002C566E" w:rsidRPr="006372C1" w:rsidRDefault="002C566E" w:rsidP="00EF5218">
      <w:pPr>
        <w:widowControl/>
        <w:tabs>
          <w:tab w:val="left" w:pos="643"/>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50</w:t>
      </w:r>
      <w:r w:rsidRPr="006372C1">
        <w:rPr>
          <w:rFonts w:ascii="Times New Roman" w:hAnsi="Times New Roman" w:cs="Times New Roman"/>
          <w:color w:val="000000" w:themeColor="text1"/>
          <w:sz w:val="24"/>
        </w:rPr>
        <w:t>. Vykdydama mažos vertės pirkimus perkančioji organizacija neprivalo vadovautis Taisyklių 37</w:t>
      </w:r>
      <w:r w:rsidR="00392D13" w:rsidRPr="006372C1">
        <w:rPr>
          <w:rFonts w:ascii="Times New Roman" w:hAnsi="Times New Roman" w:cs="Times New Roman"/>
          <w:color w:val="000000" w:themeColor="text1"/>
          <w:sz w:val="24"/>
        </w:rPr>
        <w:t xml:space="preserve"> (išskyrus 37.30.)</w:t>
      </w:r>
      <w:r w:rsidRPr="006372C1">
        <w:rPr>
          <w:rFonts w:ascii="Times New Roman" w:hAnsi="Times New Roman" w:cs="Times New Roman"/>
          <w:color w:val="000000" w:themeColor="text1"/>
          <w:sz w:val="24"/>
        </w:rPr>
        <w:t>, 4</w:t>
      </w:r>
      <w:r w:rsidR="00206D9D" w:rsidRPr="006372C1">
        <w:rPr>
          <w:rFonts w:ascii="Times New Roman" w:hAnsi="Times New Roman" w:cs="Times New Roman"/>
          <w:color w:val="000000" w:themeColor="text1"/>
          <w:sz w:val="24"/>
        </w:rPr>
        <w:t>3</w:t>
      </w:r>
      <w:r w:rsidRPr="006372C1">
        <w:rPr>
          <w:rFonts w:ascii="Times New Roman" w:hAnsi="Times New Roman" w:cs="Times New Roman"/>
          <w:color w:val="000000" w:themeColor="text1"/>
          <w:sz w:val="24"/>
        </w:rPr>
        <w:t>, 48,</w:t>
      </w:r>
      <w:r w:rsidR="00206D9D" w:rsidRPr="006372C1">
        <w:rPr>
          <w:rFonts w:ascii="Times New Roman" w:hAnsi="Times New Roman" w:cs="Times New Roman"/>
          <w:color w:val="000000" w:themeColor="text1"/>
          <w:sz w:val="24"/>
        </w:rPr>
        <w:t xml:space="preserve"> 55,</w:t>
      </w:r>
      <w:r w:rsidRPr="006372C1">
        <w:rPr>
          <w:rFonts w:ascii="Times New Roman" w:hAnsi="Times New Roman" w:cs="Times New Roman"/>
          <w:color w:val="000000" w:themeColor="text1"/>
          <w:sz w:val="24"/>
        </w:rPr>
        <w:t xml:space="preserve"> </w:t>
      </w:r>
      <w:r w:rsidR="00206D9D" w:rsidRPr="006372C1">
        <w:rPr>
          <w:rFonts w:ascii="Times New Roman" w:hAnsi="Times New Roman" w:cs="Times New Roman"/>
          <w:color w:val="000000" w:themeColor="text1"/>
          <w:sz w:val="24"/>
        </w:rPr>
        <w:t>56</w:t>
      </w:r>
      <w:r w:rsidRPr="006372C1">
        <w:rPr>
          <w:rFonts w:ascii="Times New Roman" w:hAnsi="Times New Roman" w:cs="Times New Roman"/>
          <w:color w:val="000000" w:themeColor="text1"/>
          <w:sz w:val="24"/>
        </w:rPr>
        <w:t>,</w:t>
      </w:r>
      <w:r w:rsidR="00206D9D" w:rsidRPr="006372C1">
        <w:rPr>
          <w:rFonts w:ascii="Times New Roman" w:hAnsi="Times New Roman" w:cs="Times New Roman"/>
          <w:color w:val="000000" w:themeColor="text1"/>
          <w:sz w:val="24"/>
        </w:rPr>
        <w:t xml:space="preserve"> 66</w:t>
      </w:r>
      <w:r w:rsidRPr="006372C1">
        <w:rPr>
          <w:rFonts w:ascii="Times New Roman" w:hAnsi="Times New Roman" w:cs="Times New Roman"/>
          <w:color w:val="000000" w:themeColor="text1"/>
          <w:sz w:val="24"/>
        </w:rPr>
        <w:t>–</w:t>
      </w:r>
      <w:r w:rsidR="00206D9D" w:rsidRPr="006372C1">
        <w:rPr>
          <w:rFonts w:ascii="Times New Roman" w:hAnsi="Times New Roman" w:cs="Times New Roman"/>
          <w:color w:val="000000" w:themeColor="text1"/>
          <w:sz w:val="24"/>
        </w:rPr>
        <w:t>70</w:t>
      </w:r>
      <w:r w:rsidRPr="006372C1">
        <w:rPr>
          <w:rFonts w:ascii="Times New Roman" w:hAnsi="Times New Roman" w:cs="Times New Roman"/>
          <w:color w:val="000000" w:themeColor="text1"/>
          <w:sz w:val="24"/>
        </w:rPr>
        <w:t xml:space="preserve">, </w:t>
      </w:r>
      <w:r w:rsidR="00206D9D" w:rsidRPr="006372C1">
        <w:rPr>
          <w:rFonts w:ascii="Times New Roman" w:hAnsi="Times New Roman" w:cs="Times New Roman"/>
          <w:color w:val="000000" w:themeColor="text1"/>
          <w:sz w:val="24"/>
        </w:rPr>
        <w:t>74</w:t>
      </w:r>
      <w:r w:rsidRPr="006372C1">
        <w:rPr>
          <w:rFonts w:ascii="Times New Roman" w:hAnsi="Times New Roman" w:cs="Times New Roman"/>
          <w:color w:val="000000" w:themeColor="text1"/>
          <w:sz w:val="24"/>
        </w:rPr>
        <w:t xml:space="preserve">, </w:t>
      </w:r>
      <w:r w:rsidR="00206D9D" w:rsidRPr="006372C1">
        <w:rPr>
          <w:rFonts w:ascii="Times New Roman" w:hAnsi="Times New Roman" w:cs="Times New Roman"/>
          <w:color w:val="000000" w:themeColor="text1"/>
          <w:sz w:val="24"/>
        </w:rPr>
        <w:t>87</w:t>
      </w:r>
      <w:r w:rsidRPr="006372C1">
        <w:rPr>
          <w:rFonts w:ascii="Times New Roman" w:hAnsi="Times New Roman" w:cs="Times New Roman"/>
          <w:color w:val="000000" w:themeColor="text1"/>
          <w:sz w:val="24"/>
        </w:rPr>
        <w:t xml:space="preserve">, </w:t>
      </w:r>
      <w:r w:rsidR="00206D9D" w:rsidRPr="006372C1">
        <w:rPr>
          <w:rFonts w:ascii="Times New Roman" w:hAnsi="Times New Roman" w:cs="Times New Roman"/>
          <w:color w:val="000000" w:themeColor="text1"/>
          <w:sz w:val="24"/>
        </w:rPr>
        <w:t>96</w:t>
      </w:r>
      <w:r w:rsidRPr="006372C1">
        <w:rPr>
          <w:rFonts w:ascii="Times New Roman" w:hAnsi="Times New Roman" w:cs="Times New Roman"/>
          <w:color w:val="000000" w:themeColor="text1"/>
          <w:sz w:val="24"/>
        </w:rPr>
        <w:t>–</w:t>
      </w:r>
      <w:r w:rsidR="00206D9D" w:rsidRPr="006372C1">
        <w:rPr>
          <w:rFonts w:ascii="Times New Roman" w:hAnsi="Times New Roman" w:cs="Times New Roman"/>
          <w:color w:val="000000" w:themeColor="text1"/>
          <w:sz w:val="24"/>
        </w:rPr>
        <w:t>101</w:t>
      </w:r>
      <w:r w:rsidRPr="006372C1">
        <w:rPr>
          <w:rFonts w:ascii="Times New Roman" w:hAnsi="Times New Roman" w:cs="Times New Roman"/>
          <w:color w:val="000000" w:themeColor="text1"/>
          <w:sz w:val="24"/>
        </w:rPr>
        <w:t xml:space="preserve"> ir 1</w:t>
      </w:r>
      <w:r w:rsidR="00206D9D" w:rsidRPr="006372C1">
        <w:rPr>
          <w:rFonts w:ascii="Times New Roman" w:hAnsi="Times New Roman" w:cs="Times New Roman"/>
          <w:color w:val="000000" w:themeColor="text1"/>
          <w:sz w:val="24"/>
        </w:rPr>
        <w:t>15</w:t>
      </w:r>
      <w:r w:rsidRPr="006372C1">
        <w:rPr>
          <w:rFonts w:ascii="Times New Roman" w:hAnsi="Times New Roman" w:cs="Times New Roman"/>
          <w:color w:val="000000" w:themeColor="text1"/>
          <w:sz w:val="24"/>
        </w:rPr>
        <w:t>.4</w:t>
      </w:r>
      <w:r w:rsidR="00FE3BBB" w:rsidRPr="006372C1">
        <w:rPr>
          <w:rFonts w:ascii="Times New Roman" w:hAnsi="Times New Roman" w:cs="Times New Roman"/>
          <w:color w:val="000000" w:themeColor="text1"/>
          <w:sz w:val="24"/>
        </w:rPr>
        <w:t xml:space="preserve"> </w:t>
      </w:r>
      <w:r w:rsidRPr="006372C1">
        <w:rPr>
          <w:rFonts w:ascii="Times New Roman" w:hAnsi="Times New Roman" w:cs="Times New Roman"/>
          <w:color w:val="000000" w:themeColor="text1"/>
          <w:sz w:val="24"/>
        </w:rPr>
        <w:t>punktų reikalavimais.</w:t>
      </w:r>
      <w:r w:rsidR="00FE3BBB" w:rsidRPr="006372C1">
        <w:rPr>
          <w:rFonts w:ascii="Times New Roman" w:hAnsi="Times New Roman" w:cs="Times New Roman"/>
          <w:color w:val="000000" w:themeColor="text1"/>
          <w:sz w:val="24"/>
        </w:rPr>
        <w:t xml:space="preserve"> </w:t>
      </w:r>
    </w:p>
    <w:p w:rsidR="002C566E" w:rsidRPr="006372C1" w:rsidRDefault="002C566E" w:rsidP="00EF5218">
      <w:pPr>
        <w:widowControl/>
        <w:jc w:val="both"/>
        <w:rPr>
          <w:rFonts w:ascii="Times New Roman" w:hAnsi="Times New Roman" w:cs="Times New Roman"/>
          <w:color w:val="000000" w:themeColor="text1"/>
          <w:sz w:val="24"/>
        </w:rPr>
      </w:pPr>
    </w:p>
    <w:p w:rsidR="002C566E" w:rsidRPr="006372C1" w:rsidRDefault="002C566E" w:rsidP="00EF5218">
      <w:pPr>
        <w:widowControl/>
        <w:jc w:val="both"/>
        <w:rPr>
          <w:rFonts w:ascii="Times New Roman" w:hAnsi="Times New Roman" w:cs="Times New Roman"/>
          <w:color w:val="000000" w:themeColor="text1"/>
          <w:sz w:val="24"/>
        </w:rPr>
      </w:pPr>
    </w:p>
    <w:p w:rsidR="000F6799" w:rsidRDefault="002C566E" w:rsidP="00EF5218">
      <w:pPr>
        <w:tabs>
          <w:tab w:val="left" w:pos="540"/>
        </w:tabs>
        <w:ind w:firstLine="90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XVII. </w:t>
      </w:r>
      <w:r w:rsidR="000F6799">
        <w:rPr>
          <w:rFonts w:ascii="Times New Roman" w:hAnsi="Times New Roman" w:cs="Times New Roman"/>
          <w:b/>
          <w:color w:val="000000" w:themeColor="text1"/>
          <w:sz w:val="24"/>
        </w:rPr>
        <w:t>SKYRIUS</w:t>
      </w:r>
    </w:p>
    <w:p w:rsidR="002C566E" w:rsidRPr="006372C1" w:rsidRDefault="002C566E" w:rsidP="00EF5218">
      <w:pPr>
        <w:tabs>
          <w:tab w:val="left" w:pos="540"/>
        </w:tabs>
        <w:ind w:firstLine="90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SUPAPRASTINTŲ PIRKIMŲ DOKUMENTAVIMAS </w:t>
      </w:r>
    </w:p>
    <w:p w:rsidR="002C566E" w:rsidRPr="006372C1" w:rsidRDefault="002C566E" w:rsidP="00EF5218">
      <w:pPr>
        <w:tabs>
          <w:tab w:val="left" w:pos="540"/>
        </w:tabs>
        <w:ind w:firstLine="900"/>
        <w:jc w:val="both"/>
        <w:rPr>
          <w:rFonts w:ascii="Times New Roman" w:hAnsi="Times New Roman" w:cs="Times New Roman"/>
          <w:color w:val="000000" w:themeColor="text1"/>
          <w:sz w:val="24"/>
        </w:rPr>
      </w:pPr>
    </w:p>
    <w:p w:rsidR="002C566E" w:rsidRPr="006372C1" w:rsidRDefault="002C566E" w:rsidP="00EF5218">
      <w:pPr>
        <w:tabs>
          <w:tab w:val="left" w:pos="540"/>
        </w:tabs>
        <w:ind w:firstLine="741"/>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51</w:t>
      </w:r>
      <w:r w:rsidRPr="006372C1">
        <w:rPr>
          <w:rFonts w:ascii="Times New Roman" w:hAnsi="Times New Roman" w:cs="Times New Roman"/>
          <w:color w:val="000000" w:themeColor="text1"/>
          <w:sz w:val="24"/>
        </w:rPr>
        <w:t xml:space="preserve">. Kiekvieną atliktą supaprastintą pirkimą Komisija arba pirkimų organizatorius registruoja pirkimų žurnale. </w:t>
      </w:r>
    </w:p>
    <w:p w:rsidR="002C566E" w:rsidRPr="006372C1" w:rsidRDefault="002C566E" w:rsidP="00EF5218">
      <w:pPr>
        <w:ind w:firstLine="741"/>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52</w:t>
      </w:r>
      <w:r w:rsidRPr="006372C1">
        <w:rPr>
          <w:rFonts w:ascii="Times New Roman" w:hAnsi="Times New Roman" w:cs="Times New Roman"/>
          <w:color w:val="000000" w:themeColor="text1"/>
          <w:sz w:val="24"/>
        </w:rPr>
        <w:t xml:space="preserve">. Kai pirkimą vykdo Komisija, kiekvienas jos sprendimas protokoluojamas. Kai pirkimą atlieka pirkimo organizatorius, pildoma tiekėjų apklausos pažyma (1 priedas). </w:t>
      </w:r>
    </w:p>
    <w:p w:rsidR="002C566E" w:rsidRPr="006372C1" w:rsidRDefault="002C566E" w:rsidP="00EF5218">
      <w:pPr>
        <w:tabs>
          <w:tab w:val="left" w:pos="540"/>
        </w:tabs>
        <w:ind w:firstLine="741"/>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53</w:t>
      </w:r>
      <w:r w:rsidRPr="006372C1">
        <w:rPr>
          <w:rFonts w:ascii="Times New Roman" w:hAnsi="Times New Roman" w:cs="Times New Roman"/>
          <w:color w:val="000000" w:themeColor="text1"/>
          <w:sz w:val="24"/>
        </w:rPr>
        <w:t xml:space="preserve">. Įvykdžius pirkimą, Komisija arba Pirkimo organizatorius perduoda visus su pirkimu susijusius dokumentus Ūkio skyriui, mokėjimo dokumentų originalus ir sutarčių originalus </w:t>
      </w:r>
      <w:r w:rsidRPr="006372C1">
        <w:rPr>
          <w:rFonts w:ascii="Times New Roman" w:hAnsi="Times New Roman" w:cs="Times New Roman"/>
          <w:iCs/>
          <w:color w:val="000000" w:themeColor="text1"/>
          <w:sz w:val="24"/>
        </w:rPr>
        <w:t>– Finansų ir apskaitos skyriui</w:t>
      </w:r>
      <w:r w:rsidRPr="006372C1">
        <w:rPr>
          <w:rFonts w:ascii="Times New Roman" w:hAnsi="Times New Roman" w:cs="Times New Roman"/>
          <w:color w:val="000000" w:themeColor="text1"/>
          <w:sz w:val="24"/>
        </w:rPr>
        <w:t xml:space="preserve">. </w:t>
      </w:r>
    </w:p>
    <w:p w:rsidR="002C566E" w:rsidRPr="006372C1" w:rsidRDefault="002C566E" w:rsidP="00EE65E7">
      <w:pPr>
        <w:ind w:firstLine="741"/>
        <w:jc w:val="both"/>
        <w:rPr>
          <w:rFonts w:ascii="Times New Roman" w:hAnsi="Times New Roman" w:cs="Times New Roman"/>
          <w:b/>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54</w:t>
      </w:r>
      <w:r w:rsidRPr="006372C1">
        <w:rPr>
          <w:rFonts w:ascii="Times New Roman" w:hAnsi="Times New Roman" w:cs="Times New Roman"/>
          <w:color w:val="000000" w:themeColor="text1"/>
          <w:sz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DD5165" w:rsidRPr="006372C1" w:rsidRDefault="00DD5165" w:rsidP="00EF5218">
      <w:pPr>
        <w:widowControl/>
        <w:ind w:firstLine="0"/>
        <w:jc w:val="center"/>
        <w:rPr>
          <w:rFonts w:ascii="Times New Roman" w:hAnsi="Times New Roman" w:cs="Times New Roman"/>
          <w:b/>
          <w:color w:val="000000" w:themeColor="text1"/>
          <w:sz w:val="24"/>
        </w:rPr>
      </w:pPr>
    </w:p>
    <w:p w:rsidR="00206D9D" w:rsidRPr="006372C1" w:rsidRDefault="00206D9D" w:rsidP="00EF5218">
      <w:pPr>
        <w:widowControl/>
        <w:ind w:firstLine="0"/>
        <w:jc w:val="center"/>
        <w:rPr>
          <w:rFonts w:ascii="Times New Roman" w:hAnsi="Times New Roman" w:cs="Times New Roman"/>
          <w:b/>
          <w:color w:val="000000" w:themeColor="text1"/>
          <w:sz w:val="24"/>
        </w:rPr>
      </w:pPr>
    </w:p>
    <w:p w:rsidR="00DD5165" w:rsidRPr="006372C1" w:rsidRDefault="00DD5165" w:rsidP="00EF5218">
      <w:pPr>
        <w:widowControl/>
        <w:ind w:firstLine="0"/>
        <w:jc w:val="center"/>
        <w:rPr>
          <w:rFonts w:ascii="Times New Roman" w:hAnsi="Times New Roman" w:cs="Times New Roman"/>
          <w:b/>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XVIII.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INFORMACIJOS APIE SUPAPRASTINTUS PIRKIMUS TEIKIMAS</w:t>
      </w:r>
    </w:p>
    <w:p w:rsidR="002C566E" w:rsidRPr="006372C1" w:rsidRDefault="002C566E" w:rsidP="00EF5218">
      <w:pPr>
        <w:widowControl/>
        <w:tabs>
          <w:tab w:val="left" w:pos="643"/>
        </w:tabs>
        <w:jc w:val="both"/>
        <w:rPr>
          <w:rFonts w:ascii="Times New Roman" w:hAnsi="Times New Roman" w:cs="Times New Roman"/>
          <w:color w:val="000000" w:themeColor="text1"/>
          <w:sz w:val="24"/>
        </w:rPr>
      </w:pPr>
    </w:p>
    <w:p w:rsidR="002C566E" w:rsidRPr="006372C1" w:rsidRDefault="002C566E" w:rsidP="00580069">
      <w:pPr>
        <w:tabs>
          <w:tab w:val="left" w:pos="643"/>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55</w:t>
      </w:r>
      <w:r w:rsidRPr="006372C1">
        <w:rPr>
          <w:rFonts w:ascii="Times New Roman" w:hAnsi="Times New Roman" w:cs="Times New Roman"/>
          <w:color w:val="000000" w:themeColor="text1"/>
          <w:sz w:val="24"/>
        </w:rPr>
        <w:t>.</w:t>
      </w:r>
      <w:r w:rsidRPr="006372C1">
        <w:rPr>
          <w:rFonts w:ascii="Times New Roman" w:hAnsi="Times New Roman" w:cs="Times New Roman"/>
          <w:b/>
          <w:color w:val="000000" w:themeColor="text1"/>
          <w:sz w:val="24"/>
        </w:rPr>
        <w:t xml:space="preserve"> </w:t>
      </w:r>
      <w:r w:rsidRPr="006372C1">
        <w:rPr>
          <w:rFonts w:ascii="Times New Roman" w:hAnsi="Times New Roman" w:cs="Times New Roman"/>
          <w:color w:val="000000" w:themeColor="text1"/>
          <w:sz w:val="24"/>
        </w:rPr>
        <w:t xml:space="preserve">Komisija ar pirkimų organizatorius suinteresuotiems kandidatams ir suinteresuotiems dalyviams, išskyrus atvejus, kai supaprastinto pirkimo sutarties vertė mažesnė kaip </w:t>
      </w:r>
      <w:r w:rsidR="00EE65E7" w:rsidRPr="006372C1">
        <w:rPr>
          <w:rFonts w:ascii="Times New Roman" w:hAnsi="Times New Roman" w:cs="Times New Roman"/>
          <w:color w:val="000000" w:themeColor="text1"/>
          <w:sz w:val="24"/>
        </w:rPr>
        <w:t>3</w:t>
      </w:r>
      <w:r w:rsidRPr="006372C1">
        <w:rPr>
          <w:rFonts w:ascii="Times New Roman" w:hAnsi="Times New Roman" w:cs="Times New Roman"/>
          <w:color w:val="000000" w:themeColor="text1"/>
          <w:sz w:val="24"/>
        </w:rPr>
        <w:t xml:space="preserve"> 000 </w:t>
      </w:r>
      <w:r w:rsidR="00EE65E7" w:rsidRPr="006372C1">
        <w:rPr>
          <w:rFonts w:ascii="Times New Roman" w:hAnsi="Times New Roman" w:cs="Times New Roman"/>
          <w:color w:val="000000" w:themeColor="text1"/>
          <w:sz w:val="24"/>
        </w:rPr>
        <w:t>eurų</w:t>
      </w:r>
      <w:r w:rsidRPr="006372C1">
        <w:rPr>
          <w:rFonts w:ascii="Times New Roman" w:hAnsi="Times New Roman" w:cs="Times New Roman"/>
          <w:color w:val="000000" w:themeColor="text1"/>
          <w:sz w:val="24"/>
        </w:rPr>
        <w:t xml:space="preserve"> (be pridėtinės vertės mokesčio), nedelsdama (ne vėliau kaip per 5 darbo dienas) raštu praneša apie priimtą sprendimą sudaryti pirkimo sutartį</w:t>
      </w:r>
      <w:r w:rsidR="00844BBC" w:rsidRPr="006372C1">
        <w:rPr>
          <w:rFonts w:ascii="Times New Roman" w:hAnsi="Times New Roman" w:cs="Times New Roman"/>
          <w:color w:val="000000" w:themeColor="text1"/>
          <w:sz w:val="24"/>
        </w:rPr>
        <w:t xml:space="preserve"> </w:t>
      </w:r>
      <w:r w:rsidRPr="006372C1">
        <w:rPr>
          <w:rFonts w:ascii="Times New Roman" w:hAnsi="Times New Roman" w:cs="Times New Roman"/>
          <w:color w:val="000000" w:themeColor="text1"/>
          <w:sz w:val="24"/>
        </w:rPr>
        <w:t>ar preliminariąją sutartį arba sprendimą dėl leidimo dalyvauti dinaminėje pirkimo sistemoje, pateikia Taisyklių 1</w:t>
      </w:r>
      <w:r w:rsidR="00206D9D" w:rsidRPr="006372C1">
        <w:rPr>
          <w:rFonts w:ascii="Times New Roman" w:hAnsi="Times New Roman" w:cs="Times New Roman"/>
          <w:color w:val="000000" w:themeColor="text1"/>
          <w:sz w:val="24"/>
        </w:rPr>
        <w:t>56</w:t>
      </w:r>
      <w:r w:rsidRPr="006372C1">
        <w:rPr>
          <w:rFonts w:ascii="Times New Roman" w:hAnsi="Times New Roman" w:cs="Times New Roman"/>
          <w:color w:val="000000" w:themeColor="text1"/>
          <w:sz w:val="24"/>
        </w:rPr>
        <w:t xml:space="preserve"> punkte nurodytos atitinkamos informacijos, kuri dar nebuvo pateikta pirkimo procedūros metu, santrauką ir nurodo nustatytą </w:t>
      </w:r>
      <w:r w:rsidRPr="006372C1">
        <w:rPr>
          <w:rFonts w:ascii="Times New Roman" w:hAnsi="Times New Roman" w:cs="Times New Roman"/>
          <w:color w:val="000000" w:themeColor="text1"/>
          <w:sz w:val="24"/>
        </w:rPr>
        <w:lastRenderedPageBreak/>
        <w:t>pasiūlymų eilę, laimėjusį pasiūlymą, tikslų atidėjimo terminą. Perkančioji organizacija taip pat turi nurodyti priežastis, dėl kurių buvo priimtas sprendimas nesudaryti pirkimo sutarties</w:t>
      </w:r>
      <w:r w:rsidR="00295741" w:rsidRPr="006372C1">
        <w:rPr>
          <w:rFonts w:ascii="Times New Roman" w:hAnsi="Times New Roman" w:cs="Times New Roman"/>
          <w:color w:val="000000" w:themeColor="text1"/>
          <w:sz w:val="24"/>
        </w:rPr>
        <w:t xml:space="preserve"> ar preliminariosios sutarties</w:t>
      </w:r>
      <w:r w:rsidRPr="006372C1">
        <w:rPr>
          <w:rFonts w:ascii="Times New Roman" w:hAnsi="Times New Roman" w:cs="Times New Roman"/>
          <w:color w:val="000000" w:themeColor="text1"/>
          <w:sz w:val="24"/>
        </w:rPr>
        <w:t>, pradėti pirkimą</w:t>
      </w:r>
      <w:r w:rsidR="00295741" w:rsidRPr="006372C1">
        <w:rPr>
          <w:rFonts w:ascii="Times New Roman" w:hAnsi="Times New Roman" w:cs="Times New Roman"/>
          <w:color w:val="000000" w:themeColor="text1"/>
          <w:sz w:val="24"/>
        </w:rPr>
        <w:t xml:space="preserve"> ar dinaminę pirkimų sistemą</w:t>
      </w:r>
      <w:r w:rsidRPr="006372C1">
        <w:rPr>
          <w:rFonts w:ascii="Times New Roman" w:hAnsi="Times New Roman" w:cs="Times New Roman"/>
          <w:color w:val="000000" w:themeColor="text1"/>
          <w:sz w:val="24"/>
        </w:rPr>
        <w:t xml:space="preserve"> iš naujo.</w:t>
      </w:r>
    </w:p>
    <w:p w:rsidR="002C566E" w:rsidRPr="006372C1" w:rsidRDefault="002C566E" w:rsidP="00580069">
      <w:pPr>
        <w:tabs>
          <w:tab w:val="left" w:pos="643"/>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56</w:t>
      </w:r>
      <w:r w:rsidRPr="006372C1">
        <w:rPr>
          <w:rFonts w:ascii="Times New Roman" w:hAnsi="Times New Roman" w:cs="Times New Roman"/>
          <w:color w:val="000000" w:themeColor="text1"/>
          <w:sz w:val="24"/>
        </w:rPr>
        <w:t>. Perkančioji organizacija, gavusi kandidato ar dalyvio raštu pateiktą prašymą, turi nedelsdama, ne vėliau kaip per 10 dienų nuo prašymo gavimo dienos, nurodyti:</w:t>
      </w:r>
    </w:p>
    <w:p w:rsidR="002C566E" w:rsidRPr="006372C1" w:rsidRDefault="002C566E" w:rsidP="00580069">
      <w:pPr>
        <w:tabs>
          <w:tab w:val="left" w:pos="80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56</w:t>
      </w:r>
      <w:r w:rsidRPr="006372C1">
        <w:rPr>
          <w:rFonts w:ascii="Times New Roman" w:hAnsi="Times New Roman" w:cs="Times New Roman"/>
          <w:color w:val="000000" w:themeColor="text1"/>
          <w:sz w:val="24"/>
        </w:rPr>
        <w:t>.1. kandidatui – jo paraiškos atmetimo priežastis;</w:t>
      </w:r>
    </w:p>
    <w:p w:rsidR="002C566E" w:rsidRPr="006372C1" w:rsidRDefault="002C566E" w:rsidP="00580069">
      <w:pPr>
        <w:tabs>
          <w:tab w:val="left" w:pos="80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56</w:t>
      </w:r>
      <w:r w:rsidRPr="006372C1">
        <w:rPr>
          <w:rFonts w:ascii="Times New Roman" w:hAnsi="Times New Roman" w:cs="Times New Roman"/>
          <w:color w:val="000000" w:themeColor="text1"/>
          <w:sz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123A6" w:rsidRDefault="002C566E" w:rsidP="00580069">
      <w:pPr>
        <w:tabs>
          <w:tab w:val="left" w:pos="80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56</w:t>
      </w:r>
      <w:r w:rsidRPr="006372C1">
        <w:rPr>
          <w:rFonts w:ascii="Times New Roman" w:hAnsi="Times New Roman" w:cs="Times New Roman"/>
          <w:color w:val="000000" w:themeColor="text1"/>
          <w:sz w:val="24"/>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2C566E" w:rsidRPr="006372C1" w:rsidRDefault="002C566E" w:rsidP="00580069">
      <w:pPr>
        <w:tabs>
          <w:tab w:val="left" w:pos="802"/>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 xml:space="preserve">Šis punktas netaikomas, kai </w:t>
      </w:r>
      <w:r w:rsidR="00FF23CC" w:rsidRPr="006372C1">
        <w:rPr>
          <w:rFonts w:ascii="Times New Roman" w:hAnsi="Times New Roman" w:cs="Times New Roman"/>
          <w:color w:val="000000" w:themeColor="text1"/>
          <w:sz w:val="24"/>
        </w:rPr>
        <w:t>atliekamas mažos vertės pirkimas.</w:t>
      </w:r>
    </w:p>
    <w:p w:rsidR="002C566E" w:rsidRPr="006372C1" w:rsidRDefault="002C566E" w:rsidP="00580069">
      <w:pPr>
        <w:tabs>
          <w:tab w:val="left" w:pos="643"/>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57</w:t>
      </w:r>
      <w:r w:rsidRPr="006372C1">
        <w:rPr>
          <w:rFonts w:ascii="Times New Roman" w:hAnsi="Times New Roman" w:cs="Times New Roman"/>
          <w:color w:val="000000" w:themeColor="text1"/>
          <w:sz w:val="24"/>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C566E" w:rsidRPr="006372C1" w:rsidRDefault="002C566E" w:rsidP="00580069">
      <w:pPr>
        <w:tabs>
          <w:tab w:val="left" w:pos="643"/>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w:t>
      </w:r>
      <w:r w:rsidR="00462E94" w:rsidRPr="006372C1">
        <w:rPr>
          <w:rFonts w:ascii="Times New Roman" w:hAnsi="Times New Roman" w:cs="Times New Roman"/>
          <w:color w:val="000000" w:themeColor="text1"/>
          <w:sz w:val="24"/>
        </w:rPr>
        <w:t>58</w:t>
      </w:r>
      <w:r w:rsidRPr="006372C1">
        <w:rPr>
          <w:rFonts w:ascii="Times New Roman" w:hAnsi="Times New Roman" w:cs="Times New Roman"/>
          <w:color w:val="000000" w:themeColor="text1"/>
          <w:sz w:val="24"/>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00295741" w:rsidRPr="006372C1">
        <w:rPr>
          <w:rFonts w:ascii="Times New Roman" w:hAnsi="Times New Roman" w:cs="Times New Roman"/>
          <w:color w:val="000000" w:themeColor="text1"/>
          <w:sz w:val="24"/>
        </w:rPr>
        <w:t xml:space="preserve">Pasiūlyme nurodyta prekių, paslaugų ar darbų kaina, išskyrus jos sudedamąsias dalis, nėra laikoma konfidencialia informacija. </w:t>
      </w:r>
      <w:r w:rsidRPr="006372C1">
        <w:rPr>
          <w:rFonts w:ascii="Times New Roman" w:hAnsi="Times New Roman" w:cs="Times New Roman"/>
          <w:color w:val="000000" w:themeColor="text1"/>
          <w:sz w:val="24"/>
        </w:rPr>
        <w:t>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2C566E" w:rsidRPr="006372C1" w:rsidRDefault="002C566E" w:rsidP="00EF5218">
      <w:pPr>
        <w:widowControl/>
        <w:jc w:val="both"/>
        <w:rPr>
          <w:rFonts w:ascii="Times New Roman" w:hAnsi="Times New Roman" w:cs="Times New Roman"/>
          <w:color w:val="000000" w:themeColor="text1"/>
          <w:sz w:val="24"/>
        </w:rPr>
      </w:pPr>
    </w:p>
    <w:p w:rsidR="000F6799"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 xml:space="preserve">XIX. </w:t>
      </w:r>
      <w:r w:rsidR="000F6799">
        <w:rPr>
          <w:rFonts w:ascii="Times New Roman" w:hAnsi="Times New Roman" w:cs="Times New Roman"/>
          <w:b/>
          <w:color w:val="000000" w:themeColor="text1"/>
          <w:sz w:val="24"/>
        </w:rPr>
        <w:t>SKYRIUS</w:t>
      </w:r>
    </w:p>
    <w:p w:rsidR="002C566E" w:rsidRPr="006372C1" w:rsidRDefault="002C566E" w:rsidP="00EF5218">
      <w:pPr>
        <w:widowControl/>
        <w:ind w:firstLine="0"/>
        <w:jc w:val="center"/>
        <w:rPr>
          <w:rFonts w:ascii="Times New Roman" w:hAnsi="Times New Roman" w:cs="Times New Roman"/>
          <w:b/>
          <w:color w:val="000000" w:themeColor="text1"/>
          <w:sz w:val="24"/>
        </w:rPr>
      </w:pPr>
      <w:r w:rsidRPr="006372C1">
        <w:rPr>
          <w:rFonts w:ascii="Times New Roman" w:hAnsi="Times New Roman" w:cs="Times New Roman"/>
          <w:b/>
          <w:color w:val="000000" w:themeColor="text1"/>
          <w:sz w:val="24"/>
        </w:rPr>
        <w:t>GINČŲ NAGRINĖJIMAS</w:t>
      </w:r>
    </w:p>
    <w:p w:rsidR="002C566E" w:rsidRPr="006372C1" w:rsidRDefault="002C566E" w:rsidP="00EF5218">
      <w:pPr>
        <w:widowControl/>
        <w:tabs>
          <w:tab w:val="left" w:pos="643"/>
        </w:tabs>
        <w:jc w:val="both"/>
        <w:rPr>
          <w:rFonts w:ascii="Times New Roman" w:hAnsi="Times New Roman" w:cs="Times New Roman"/>
          <w:color w:val="000000" w:themeColor="text1"/>
          <w:sz w:val="24"/>
        </w:rPr>
      </w:pPr>
    </w:p>
    <w:p w:rsidR="00054B56" w:rsidRPr="006372C1" w:rsidRDefault="002C566E" w:rsidP="00EF5218">
      <w:pPr>
        <w:widowControl/>
        <w:tabs>
          <w:tab w:val="left" w:pos="643"/>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15</w:t>
      </w:r>
      <w:r w:rsidR="00462E94" w:rsidRPr="006372C1">
        <w:rPr>
          <w:rFonts w:ascii="Times New Roman" w:hAnsi="Times New Roman" w:cs="Times New Roman"/>
          <w:color w:val="000000" w:themeColor="text1"/>
          <w:sz w:val="24"/>
        </w:rPr>
        <w:t>9</w:t>
      </w:r>
      <w:r w:rsidRPr="006372C1">
        <w:rPr>
          <w:rFonts w:ascii="Times New Roman" w:hAnsi="Times New Roman" w:cs="Times New Roman"/>
          <w:color w:val="000000" w:themeColor="text1"/>
          <w:sz w:val="24"/>
        </w:rPr>
        <w:t xml:space="preserve">. Ginčų nagrinėjimas, žalos atlyginimas, pirkimo sutarties pripažinimas negaliojančia, alternatyvios sankcijos, Europos </w:t>
      </w:r>
      <w:r w:rsidR="00295741" w:rsidRPr="006372C1">
        <w:rPr>
          <w:rFonts w:ascii="Times New Roman" w:hAnsi="Times New Roman" w:cs="Times New Roman"/>
          <w:color w:val="000000" w:themeColor="text1"/>
          <w:sz w:val="24"/>
        </w:rPr>
        <w:t xml:space="preserve">Sąjungos </w:t>
      </w:r>
      <w:r w:rsidRPr="006372C1">
        <w:rPr>
          <w:rFonts w:ascii="Times New Roman" w:hAnsi="Times New Roman" w:cs="Times New Roman"/>
          <w:color w:val="000000" w:themeColor="text1"/>
          <w:sz w:val="24"/>
        </w:rPr>
        <w:t>teisės pažeidimų nagrinėjimas atliekamas vadovaujantis Viešųjų pirkimų įstatymo V skyriaus nuostatomis.</w:t>
      </w:r>
    </w:p>
    <w:p w:rsidR="00054B56" w:rsidRPr="006372C1" w:rsidRDefault="00054B56" w:rsidP="00EF5218">
      <w:pPr>
        <w:widowControl/>
        <w:tabs>
          <w:tab w:val="left" w:pos="643"/>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Priedai:</w:t>
      </w:r>
    </w:p>
    <w:p w:rsidR="00054B56" w:rsidRPr="006372C1" w:rsidRDefault="00054B56" w:rsidP="00054B56">
      <w:pPr>
        <w:pStyle w:val="Sraopastraipa"/>
        <w:widowControl/>
        <w:numPr>
          <w:ilvl w:val="0"/>
          <w:numId w:val="5"/>
        </w:numPr>
        <w:tabs>
          <w:tab w:val="left" w:pos="643"/>
        </w:tabs>
        <w:jc w:val="both"/>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Tiekėjų apklausos pažymos forma.</w:t>
      </w:r>
    </w:p>
    <w:p w:rsidR="00EE65E7" w:rsidRPr="006372C1" w:rsidRDefault="00EE65E7" w:rsidP="00EE65E7">
      <w:pPr>
        <w:pStyle w:val="Sraopastraipa"/>
        <w:widowControl/>
        <w:numPr>
          <w:ilvl w:val="0"/>
          <w:numId w:val="5"/>
        </w:numPr>
        <w:tabs>
          <w:tab w:val="left" w:pos="643"/>
        </w:tabs>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S</w:t>
      </w:r>
      <w:r w:rsidR="00054B56" w:rsidRPr="006372C1">
        <w:rPr>
          <w:rFonts w:ascii="Times New Roman" w:hAnsi="Times New Roman" w:cs="Times New Roman"/>
          <w:color w:val="000000" w:themeColor="text1"/>
          <w:sz w:val="24"/>
        </w:rPr>
        <w:t>upaprastintų pirkimų žurnalo forma.</w:t>
      </w:r>
    </w:p>
    <w:p w:rsidR="002C566E" w:rsidRPr="006372C1" w:rsidRDefault="002C566E" w:rsidP="00EE65E7">
      <w:pPr>
        <w:pStyle w:val="Sraopastraipa"/>
        <w:widowControl/>
        <w:tabs>
          <w:tab w:val="left" w:pos="643"/>
        </w:tabs>
        <w:ind w:left="1080" w:firstLine="0"/>
        <w:jc w:val="center"/>
        <w:rPr>
          <w:rFonts w:ascii="Times New Roman" w:hAnsi="Times New Roman" w:cs="Times New Roman"/>
          <w:color w:val="000000" w:themeColor="text1"/>
          <w:sz w:val="24"/>
        </w:rPr>
      </w:pPr>
      <w:r w:rsidRPr="006372C1">
        <w:rPr>
          <w:rFonts w:ascii="Times New Roman" w:hAnsi="Times New Roman" w:cs="Times New Roman"/>
          <w:color w:val="000000" w:themeColor="text1"/>
          <w:sz w:val="24"/>
        </w:rPr>
        <w:t>______________</w:t>
      </w:r>
    </w:p>
    <w:p w:rsidR="00054B56" w:rsidRPr="006372C1" w:rsidRDefault="00054B56" w:rsidP="00EF5218">
      <w:pPr>
        <w:widowControl/>
        <w:ind w:firstLine="0"/>
        <w:jc w:val="center"/>
        <w:rPr>
          <w:rFonts w:ascii="Times New Roman" w:hAnsi="Times New Roman" w:cs="Times New Roman"/>
          <w:color w:val="000000" w:themeColor="text1"/>
          <w:sz w:val="24"/>
        </w:rPr>
      </w:pPr>
    </w:p>
    <w:p w:rsidR="00C67DC4" w:rsidRPr="006372C1" w:rsidRDefault="00C67DC4" w:rsidP="00EF5218">
      <w:pPr>
        <w:widowControl/>
        <w:ind w:firstLine="0"/>
        <w:jc w:val="center"/>
        <w:rPr>
          <w:rFonts w:ascii="Times New Roman" w:hAnsi="Times New Roman" w:cs="Times New Roman"/>
          <w:color w:val="000000" w:themeColor="text1"/>
          <w:sz w:val="24"/>
        </w:rPr>
      </w:pPr>
    </w:p>
    <w:p w:rsidR="00C67DC4" w:rsidRPr="006372C1" w:rsidRDefault="00C67DC4" w:rsidP="00EF5218">
      <w:pPr>
        <w:widowControl/>
        <w:ind w:firstLine="0"/>
        <w:jc w:val="center"/>
        <w:rPr>
          <w:rFonts w:ascii="Times New Roman" w:hAnsi="Times New Roman" w:cs="Times New Roman"/>
          <w:color w:val="000000" w:themeColor="text1"/>
          <w:sz w:val="24"/>
        </w:rPr>
      </w:pPr>
    </w:p>
    <w:p w:rsidR="006372C1" w:rsidRPr="006372C1" w:rsidRDefault="006372C1" w:rsidP="00EF5218">
      <w:pPr>
        <w:widowControl/>
        <w:ind w:firstLine="0"/>
        <w:jc w:val="center"/>
        <w:rPr>
          <w:rFonts w:ascii="Times New Roman" w:hAnsi="Times New Roman" w:cs="Times New Roman"/>
          <w:color w:val="000000" w:themeColor="text1"/>
          <w:sz w:val="24"/>
        </w:rPr>
      </w:pPr>
    </w:p>
    <w:p w:rsidR="006372C1" w:rsidRPr="006372C1" w:rsidRDefault="006372C1" w:rsidP="00EF5218">
      <w:pPr>
        <w:widowControl/>
        <w:ind w:firstLine="0"/>
        <w:jc w:val="center"/>
        <w:rPr>
          <w:rFonts w:ascii="Times New Roman" w:hAnsi="Times New Roman" w:cs="Times New Roman"/>
          <w:color w:val="000000" w:themeColor="text1"/>
          <w:sz w:val="24"/>
        </w:rPr>
      </w:pPr>
    </w:p>
    <w:p w:rsidR="006372C1" w:rsidRPr="006372C1" w:rsidRDefault="006372C1" w:rsidP="00EF5218">
      <w:pPr>
        <w:widowControl/>
        <w:ind w:firstLine="0"/>
        <w:jc w:val="center"/>
        <w:rPr>
          <w:rFonts w:ascii="Times New Roman" w:hAnsi="Times New Roman" w:cs="Times New Roman"/>
          <w:color w:val="000000" w:themeColor="text1"/>
          <w:sz w:val="24"/>
        </w:rPr>
      </w:pPr>
    </w:p>
    <w:p w:rsidR="006372C1" w:rsidRPr="006372C1" w:rsidRDefault="006372C1" w:rsidP="00EF5218">
      <w:pPr>
        <w:widowControl/>
        <w:ind w:firstLine="0"/>
        <w:jc w:val="center"/>
        <w:rPr>
          <w:rFonts w:ascii="Times New Roman" w:hAnsi="Times New Roman" w:cs="Times New Roman"/>
          <w:color w:val="000000" w:themeColor="text1"/>
          <w:sz w:val="24"/>
        </w:rPr>
      </w:pPr>
    </w:p>
    <w:p w:rsidR="006372C1" w:rsidRPr="006372C1" w:rsidRDefault="006372C1" w:rsidP="00EF5218">
      <w:pPr>
        <w:widowControl/>
        <w:ind w:firstLine="0"/>
        <w:jc w:val="center"/>
        <w:rPr>
          <w:rFonts w:ascii="Times New Roman" w:hAnsi="Times New Roman" w:cs="Times New Roman"/>
          <w:color w:val="000000" w:themeColor="text1"/>
          <w:sz w:val="24"/>
        </w:rPr>
      </w:pPr>
    </w:p>
    <w:p w:rsidR="006372C1" w:rsidRPr="006372C1" w:rsidRDefault="006372C1" w:rsidP="00EF5218">
      <w:pPr>
        <w:widowControl/>
        <w:ind w:firstLine="0"/>
        <w:jc w:val="center"/>
        <w:rPr>
          <w:rFonts w:ascii="Times New Roman" w:hAnsi="Times New Roman" w:cs="Times New Roman"/>
          <w:color w:val="000000" w:themeColor="text1"/>
          <w:sz w:val="24"/>
        </w:rPr>
      </w:pPr>
    </w:p>
    <w:p w:rsidR="006372C1" w:rsidRPr="006372C1" w:rsidRDefault="006372C1" w:rsidP="00EF5218">
      <w:pPr>
        <w:widowControl/>
        <w:ind w:firstLine="0"/>
        <w:jc w:val="center"/>
        <w:rPr>
          <w:rFonts w:ascii="Times New Roman" w:hAnsi="Times New Roman" w:cs="Times New Roman"/>
          <w:color w:val="000000" w:themeColor="text1"/>
          <w:sz w:val="24"/>
        </w:rPr>
      </w:pPr>
    </w:p>
    <w:p w:rsidR="006372C1" w:rsidRPr="006372C1" w:rsidRDefault="006372C1" w:rsidP="00EF5218">
      <w:pPr>
        <w:widowControl/>
        <w:ind w:firstLine="0"/>
        <w:jc w:val="center"/>
        <w:rPr>
          <w:rFonts w:ascii="Times New Roman" w:hAnsi="Times New Roman" w:cs="Times New Roman"/>
          <w:color w:val="000000" w:themeColor="text1"/>
          <w:sz w:val="24"/>
        </w:rPr>
      </w:pPr>
    </w:p>
    <w:p w:rsidR="006372C1" w:rsidRPr="006372C1" w:rsidRDefault="006372C1" w:rsidP="00EF5218">
      <w:pPr>
        <w:widowControl/>
        <w:ind w:firstLine="0"/>
        <w:jc w:val="center"/>
        <w:rPr>
          <w:rFonts w:ascii="Times New Roman" w:hAnsi="Times New Roman" w:cs="Times New Roman"/>
          <w:color w:val="000000" w:themeColor="text1"/>
          <w:sz w:val="24"/>
        </w:rPr>
      </w:pPr>
    </w:p>
    <w:p w:rsidR="000A38F8" w:rsidRPr="006372C1" w:rsidRDefault="00242720" w:rsidP="000A38F8">
      <w:pPr>
        <w:shd w:val="clear" w:color="auto" w:fill="FFFFFF"/>
        <w:ind w:firstLine="5812"/>
        <w:rPr>
          <w:rFonts w:ascii="Times New Roman" w:hAnsi="Times New Roman"/>
          <w:color w:val="000000" w:themeColor="text1"/>
          <w:spacing w:val="-1"/>
          <w:sz w:val="24"/>
        </w:rPr>
      </w:pPr>
      <w:r w:rsidRPr="006372C1">
        <w:rPr>
          <w:rFonts w:ascii="Times New Roman" w:hAnsi="Times New Roman"/>
          <w:color w:val="000000" w:themeColor="text1"/>
          <w:spacing w:val="-1"/>
          <w:sz w:val="24"/>
        </w:rPr>
        <w:t>V</w:t>
      </w:r>
      <w:r w:rsidR="00070E72" w:rsidRPr="006372C1">
        <w:rPr>
          <w:rFonts w:ascii="Times New Roman" w:hAnsi="Times New Roman"/>
          <w:color w:val="000000" w:themeColor="text1"/>
          <w:spacing w:val="-1"/>
          <w:sz w:val="24"/>
        </w:rPr>
        <w:t>alstybinio socialinio draudimo fondo</w:t>
      </w:r>
    </w:p>
    <w:p w:rsidR="000A38F8" w:rsidRPr="006372C1" w:rsidRDefault="00070E72" w:rsidP="000A38F8">
      <w:pPr>
        <w:shd w:val="clear" w:color="auto" w:fill="FFFFFF"/>
        <w:ind w:firstLine="5812"/>
        <w:rPr>
          <w:rFonts w:ascii="Times New Roman" w:hAnsi="Times New Roman"/>
          <w:color w:val="000000" w:themeColor="text1"/>
          <w:spacing w:val="-1"/>
          <w:sz w:val="24"/>
        </w:rPr>
      </w:pPr>
      <w:r w:rsidRPr="006372C1">
        <w:rPr>
          <w:rFonts w:ascii="Times New Roman" w:hAnsi="Times New Roman"/>
          <w:color w:val="000000" w:themeColor="text1"/>
          <w:spacing w:val="-1"/>
          <w:sz w:val="24"/>
        </w:rPr>
        <w:t>valdybos Utenos skyriaus</w:t>
      </w:r>
      <w:r w:rsidR="000A38F8" w:rsidRPr="006372C1">
        <w:rPr>
          <w:rFonts w:ascii="Times New Roman" w:hAnsi="Times New Roman"/>
          <w:color w:val="000000" w:themeColor="text1"/>
          <w:spacing w:val="-1"/>
          <w:sz w:val="24"/>
        </w:rPr>
        <w:t xml:space="preserve"> S</w:t>
      </w:r>
      <w:r w:rsidRPr="006372C1">
        <w:rPr>
          <w:rFonts w:ascii="Times New Roman" w:hAnsi="Times New Roman"/>
          <w:color w:val="000000" w:themeColor="text1"/>
          <w:spacing w:val="-1"/>
          <w:sz w:val="24"/>
        </w:rPr>
        <w:t xml:space="preserve">upaprastintų </w:t>
      </w:r>
    </w:p>
    <w:p w:rsidR="002C566E" w:rsidRPr="006372C1" w:rsidRDefault="00070E72" w:rsidP="000A38F8">
      <w:pPr>
        <w:shd w:val="clear" w:color="auto" w:fill="FFFFFF"/>
        <w:ind w:firstLine="5812"/>
        <w:rPr>
          <w:color w:val="000000" w:themeColor="text1"/>
        </w:rPr>
      </w:pPr>
      <w:r w:rsidRPr="006372C1">
        <w:rPr>
          <w:rFonts w:ascii="Times New Roman" w:hAnsi="Times New Roman"/>
          <w:color w:val="000000" w:themeColor="text1"/>
          <w:spacing w:val="-1"/>
          <w:sz w:val="24"/>
        </w:rPr>
        <w:t>viešųjų</w:t>
      </w:r>
      <w:r w:rsidRPr="006372C1">
        <w:rPr>
          <w:color w:val="000000" w:themeColor="text1"/>
        </w:rPr>
        <w:t xml:space="preserve"> </w:t>
      </w:r>
      <w:r w:rsidRPr="006372C1">
        <w:rPr>
          <w:rFonts w:ascii="Times New Roman" w:hAnsi="Times New Roman"/>
          <w:color w:val="000000" w:themeColor="text1"/>
          <w:spacing w:val="-1"/>
          <w:sz w:val="24"/>
        </w:rPr>
        <w:t>pirkimų taisyklių</w:t>
      </w:r>
    </w:p>
    <w:p w:rsidR="00070E72" w:rsidRPr="006372C1" w:rsidRDefault="000A38F8" w:rsidP="000A38F8">
      <w:pPr>
        <w:shd w:val="clear" w:color="auto" w:fill="FFFFFF"/>
        <w:tabs>
          <w:tab w:val="left" w:pos="1515"/>
          <w:tab w:val="right" w:pos="9639"/>
        </w:tabs>
        <w:ind w:firstLine="5812"/>
        <w:rPr>
          <w:rFonts w:ascii="Times New Roman" w:hAnsi="Times New Roman"/>
          <w:color w:val="000000" w:themeColor="text1"/>
          <w:spacing w:val="-1"/>
          <w:sz w:val="24"/>
        </w:rPr>
      </w:pPr>
      <w:r w:rsidRPr="006372C1">
        <w:rPr>
          <w:rFonts w:ascii="Times New Roman" w:hAnsi="Times New Roman"/>
          <w:b/>
          <w:color w:val="000000" w:themeColor="text1"/>
          <w:spacing w:val="-1"/>
          <w:sz w:val="24"/>
        </w:rPr>
        <w:t xml:space="preserve"> </w:t>
      </w:r>
      <w:r w:rsidR="00070E72" w:rsidRPr="006372C1">
        <w:rPr>
          <w:rFonts w:ascii="Times New Roman" w:hAnsi="Times New Roman"/>
          <w:color w:val="000000" w:themeColor="text1"/>
          <w:spacing w:val="-1"/>
          <w:sz w:val="24"/>
        </w:rPr>
        <w:t>1 priedas</w:t>
      </w:r>
    </w:p>
    <w:p w:rsidR="00181BA4" w:rsidRPr="006372C1" w:rsidRDefault="00181BA4" w:rsidP="000A38F8">
      <w:pPr>
        <w:shd w:val="clear" w:color="auto" w:fill="FFFFFF"/>
        <w:tabs>
          <w:tab w:val="left" w:pos="1515"/>
          <w:tab w:val="right" w:pos="9639"/>
        </w:tabs>
        <w:ind w:firstLine="5812"/>
        <w:rPr>
          <w:rFonts w:ascii="Times New Roman" w:hAnsi="Times New Roman"/>
          <w:color w:val="000000" w:themeColor="text1"/>
          <w:spacing w:val="-4"/>
          <w:sz w:val="24"/>
        </w:rPr>
      </w:pPr>
    </w:p>
    <w:p w:rsidR="00466E80" w:rsidRPr="006372C1" w:rsidRDefault="00070E72" w:rsidP="00070E72">
      <w:pPr>
        <w:shd w:val="clear" w:color="auto" w:fill="FFFFFF"/>
        <w:tabs>
          <w:tab w:val="left" w:pos="1530"/>
          <w:tab w:val="center" w:pos="5179"/>
        </w:tabs>
        <w:rPr>
          <w:rFonts w:ascii="Times New Roman" w:hAnsi="Times New Roman"/>
          <w:b/>
          <w:color w:val="000000" w:themeColor="text1"/>
          <w:spacing w:val="-1"/>
          <w:sz w:val="24"/>
        </w:rPr>
      </w:pPr>
      <w:r w:rsidRPr="006372C1">
        <w:rPr>
          <w:rFonts w:ascii="Times New Roman" w:hAnsi="Times New Roman"/>
          <w:b/>
          <w:color w:val="000000" w:themeColor="text1"/>
          <w:spacing w:val="-1"/>
          <w:sz w:val="24"/>
        </w:rPr>
        <w:tab/>
      </w:r>
      <w:r w:rsidR="00466E80" w:rsidRPr="006372C1">
        <w:rPr>
          <w:rFonts w:ascii="Times New Roman" w:hAnsi="Times New Roman"/>
          <w:b/>
          <w:color w:val="000000" w:themeColor="text1"/>
          <w:spacing w:val="-1"/>
          <w:sz w:val="24"/>
        </w:rPr>
        <w:t xml:space="preserve">                                                                                </w:t>
      </w:r>
    </w:p>
    <w:p w:rsidR="00181BA4" w:rsidRPr="006372C1" w:rsidRDefault="00181BA4" w:rsidP="003527FF">
      <w:pPr>
        <w:shd w:val="clear" w:color="auto" w:fill="FFFFFF"/>
        <w:jc w:val="center"/>
        <w:rPr>
          <w:rFonts w:ascii="Times New Roman" w:hAnsi="Times New Roman"/>
          <w:b/>
          <w:color w:val="000000" w:themeColor="text1"/>
          <w:spacing w:val="-1"/>
          <w:sz w:val="24"/>
        </w:rPr>
      </w:pPr>
      <w:r w:rsidRPr="006372C1">
        <w:rPr>
          <w:rFonts w:ascii="Times New Roman" w:hAnsi="Times New Roman"/>
          <w:b/>
          <w:color w:val="000000" w:themeColor="text1"/>
          <w:spacing w:val="-1"/>
          <w:sz w:val="24"/>
        </w:rPr>
        <w:t xml:space="preserve">                                           TVIRTINU:</w:t>
      </w:r>
      <w:r w:rsidR="00466E80" w:rsidRPr="006372C1">
        <w:rPr>
          <w:rFonts w:ascii="Times New Roman" w:hAnsi="Times New Roman"/>
          <w:b/>
          <w:color w:val="000000" w:themeColor="text1"/>
          <w:spacing w:val="-1"/>
          <w:sz w:val="24"/>
        </w:rPr>
        <w:t xml:space="preserve"> </w:t>
      </w:r>
    </w:p>
    <w:p w:rsidR="00181BA4" w:rsidRPr="006372C1" w:rsidRDefault="00181BA4" w:rsidP="003527FF">
      <w:pPr>
        <w:shd w:val="clear" w:color="auto" w:fill="FFFFFF"/>
        <w:jc w:val="center"/>
        <w:rPr>
          <w:rFonts w:ascii="Times New Roman" w:hAnsi="Times New Roman"/>
          <w:b/>
          <w:color w:val="000000" w:themeColor="text1"/>
          <w:spacing w:val="-1"/>
          <w:sz w:val="24"/>
        </w:rPr>
      </w:pPr>
    </w:p>
    <w:p w:rsidR="00466E80" w:rsidRPr="006372C1" w:rsidRDefault="00466E80" w:rsidP="003527FF">
      <w:pPr>
        <w:shd w:val="clear" w:color="auto" w:fill="FFFFFF"/>
        <w:jc w:val="center"/>
        <w:rPr>
          <w:rFonts w:ascii="Times New Roman" w:hAnsi="Times New Roman"/>
          <w:b/>
          <w:color w:val="000000" w:themeColor="text1"/>
          <w:spacing w:val="-1"/>
          <w:sz w:val="24"/>
        </w:rPr>
      </w:pPr>
      <w:r w:rsidRPr="006372C1">
        <w:rPr>
          <w:rFonts w:ascii="Times New Roman" w:hAnsi="Times New Roman"/>
          <w:b/>
          <w:color w:val="000000" w:themeColor="text1"/>
          <w:spacing w:val="-1"/>
          <w:sz w:val="24"/>
        </w:rPr>
        <w:t xml:space="preserve">                                                                </w:t>
      </w:r>
    </w:p>
    <w:p w:rsidR="00466E80" w:rsidRPr="006372C1" w:rsidRDefault="00466E80" w:rsidP="003527FF">
      <w:pPr>
        <w:shd w:val="clear" w:color="auto" w:fill="FFFFFF"/>
        <w:jc w:val="center"/>
        <w:rPr>
          <w:rFonts w:ascii="Times New Roman" w:hAnsi="Times New Roman"/>
          <w:b/>
          <w:color w:val="000000" w:themeColor="text1"/>
          <w:spacing w:val="-1"/>
          <w:sz w:val="24"/>
        </w:rPr>
      </w:pPr>
    </w:p>
    <w:p w:rsidR="003527FF" w:rsidRPr="006372C1" w:rsidRDefault="003527FF" w:rsidP="003527FF">
      <w:pPr>
        <w:shd w:val="clear" w:color="auto" w:fill="FFFFFF"/>
        <w:jc w:val="center"/>
        <w:rPr>
          <w:rFonts w:ascii="Times New Roman" w:hAnsi="Times New Roman"/>
          <w:b/>
          <w:color w:val="000000" w:themeColor="text1"/>
          <w:spacing w:val="2"/>
          <w:sz w:val="24"/>
        </w:rPr>
      </w:pPr>
      <w:r w:rsidRPr="006372C1">
        <w:rPr>
          <w:rFonts w:ascii="Times New Roman" w:hAnsi="Times New Roman"/>
          <w:b/>
          <w:color w:val="000000" w:themeColor="text1"/>
          <w:spacing w:val="-1"/>
          <w:sz w:val="24"/>
        </w:rPr>
        <w:t xml:space="preserve">TIEKĖJŲ APKLAUSOS </w:t>
      </w:r>
      <w:r w:rsidRPr="006372C1">
        <w:rPr>
          <w:rFonts w:ascii="Times New Roman" w:hAnsi="Times New Roman"/>
          <w:b/>
          <w:color w:val="000000" w:themeColor="text1"/>
          <w:spacing w:val="2"/>
          <w:sz w:val="24"/>
        </w:rPr>
        <w:t>PAŽYMA</w:t>
      </w:r>
    </w:p>
    <w:p w:rsidR="003527FF" w:rsidRPr="006372C1" w:rsidRDefault="003527FF" w:rsidP="003527FF">
      <w:pPr>
        <w:shd w:val="clear" w:color="auto" w:fill="FFFFFF"/>
        <w:jc w:val="center"/>
        <w:rPr>
          <w:rFonts w:ascii="Times New Roman" w:hAnsi="Times New Roman"/>
          <w:b/>
          <w:color w:val="000000" w:themeColor="text1"/>
          <w:spacing w:val="2"/>
          <w:sz w:val="24"/>
        </w:rPr>
      </w:pPr>
    </w:p>
    <w:p w:rsidR="003527FF" w:rsidRPr="006372C1" w:rsidRDefault="003527FF" w:rsidP="003527FF">
      <w:pPr>
        <w:shd w:val="clear" w:color="auto" w:fill="FFFFFF"/>
        <w:jc w:val="center"/>
        <w:rPr>
          <w:rFonts w:ascii="Times New Roman" w:hAnsi="Times New Roman"/>
          <w:b/>
          <w:color w:val="000000" w:themeColor="text1"/>
          <w:spacing w:val="2"/>
          <w:sz w:val="24"/>
        </w:rPr>
      </w:pPr>
      <w:r w:rsidRPr="006372C1">
        <w:rPr>
          <w:rFonts w:ascii="Times New Roman" w:hAnsi="Times New Roman"/>
          <w:b/>
          <w:color w:val="000000" w:themeColor="text1"/>
          <w:spacing w:val="2"/>
          <w:sz w:val="24"/>
        </w:rPr>
        <w:t xml:space="preserve">201_ m. __________ ___ d. </w:t>
      </w:r>
    </w:p>
    <w:p w:rsidR="00466E80" w:rsidRPr="006372C1" w:rsidRDefault="00466E80" w:rsidP="003527FF">
      <w:pPr>
        <w:shd w:val="clear" w:color="auto" w:fill="FFFFFF"/>
        <w:jc w:val="center"/>
        <w:rPr>
          <w:rFonts w:ascii="Times New Roman" w:hAnsi="Times New Roman"/>
          <w:b/>
          <w:color w:val="000000" w:themeColor="text1"/>
          <w:spacing w:val="2"/>
          <w:sz w:val="24"/>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435"/>
        <w:gridCol w:w="5128"/>
      </w:tblGrid>
      <w:tr w:rsidR="00466E80" w:rsidRPr="006372C1" w:rsidTr="00EB581A">
        <w:trPr>
          <w:cantSplit/>
          <w:trHeight w:val="547"/>
        </w:trPr>
        <w:tc>
          <w:tcPr>
            <w:tcW w:w="2319" w:type="pct"/>
            <w:tcBorders>
              <w:top w:val="single" w:sz="4" w:space="0" w:color="auto"/>
              <w:left w:val="single" w:sz="4" w:space="0" w:color="auto"/>
              <w:bottom w:val="single" w:sz="4" w:space="0" w:color="auto"/>
              <w:right w:val="single" w:sz="4" w:space="0" w:color="auto"/>
            </w:tcBorders>
            <w:shd w:val="clear" w:color="auto" w:fill="FFFFFF"/>
            <w:hideMark/>
          </w:tcPr>
          <w:p w:rsidR="00466E80" w:rsidRPr="006372C1" w:rsidRDefault="00466E80" w:rsidP="008E6542">
            <w:pPr>
              <w:shd w:val="clear" w:color="auto" w:fill="FFFFFF"/>
              <w:tabs>
                <w:tab w:val="left" w:pos="7048"/>
                <w:tab w:val="right" w:leader="dot" w:pos="9500"/>
              </w:tabs>
              <w:ind w:firstLine="0"/>
              <w:rPr>
                <w:rFonts w:ascii="Times New Roman" w:hAnsi="Times New Roman"/>
                <w:b/>
                <w:color w:val="000000" w:themeColor="text1"/>
                <w:sz w:val="24"/>
                <w:lang w:eastAsia="en-US"/>
              </w:rPr>
            </w:pPr>
            <w:r w:rsidRPr="006372C1">
              <w:rPr>
                <w:rFonts w:ascii="Times New Roman" w:hAnsi="Times New Roman"/>
                <w:b/>
                <w:color w:val="000000" w:themeColor="text1"/>
                <w:sz w:val="24"/>
              </w:rPr>
              <w:t>Paraiškos data ir Nr.</w:t>
            </w:r>
            <w:r w:rsidR="00EB581A" w:rsidRPr="006372C1">
              <w:rPr>
                <w:rFonts w:ascii="Times New Roman" w:hAnsi="Times New Roman"/>
                <w:b/>
                <w:color w:val="000000" w:themeColor="text1"/>
                <w:sz w:val="24"/>
              </w:rPr>
              <w:t xml:space="preserve"> </w:t>
            </w:r>
          </w:p>
        </w:tc>
        <w:tc>
          <w:tcPr>
            <w:tcW w:w="2681" w:type="pct"/>
            <w:tcBorders>
              <w:top w:val="single" w:sz="4" w:space="0" w:color="auto"/>
              <w:left w:val="single" w:sz="4" w:space="0" w:color="auto"/>
              <w:bottom w:val="single" w:sz="4" w:space="0" w:color="auto"/>
              <w:right w:val="single" w:sz="4" w:space="0" w:color="auto"/>
            </w:tcBorders>
            <w:shd w:val="clear" w:color="auto" w:fill="FFFFFF"/>
          </w:tcPr>
          <w:p w:rsidR="00466E80" w:rsidRPr="006372C1" w:rsidRDefault="00466E80" w:rsidP="008E6542">
            <w:pPr>
              <w:shd w:val="clear" w:color="auto" w:fill="FFFFFF"/>
              <w:tabs>
                <w:tab w:val="right" w:leader="dot" w:pos="4596"/>
              </w:tabs>
              <w:ind w:left="1116" w:hanging="1015"/>
              <w:rPr>
                <w:rFonts w:ascii="Times New Roman" w:hAnsi="Times New Roman"/>
                <w:b/>
                <w:color w:val="000000" w:themeColor="text1"/>
                <w:sz w:val="24"/>
                <w:lang w:eastAsia="en-US"/>
              </w:rPr>
            </w:pPr>
            <w:r w:rsidRPr="006372C1">
              <w:rPr>
                <w:rFonts w:ascii="Times New Roman" w:hAnsi="Times New Roman"/>
                <w:b/>
                <w:color w:val="000000" w:themeColor="text1"/>
                <w:sz w:val="24"/>
                <w:lang w:eastAsia="en-US"/>
              </w:rPr>
              <w:t>BVPŽ kodas:</w:t>
            </w:r>
          </w:p>
        </w:tc>
      </w:tr>
    </w:tbl>
    <w:p w:rsidR="003527FF" w:rsidRPr="006372C1" w:rsidRDefault="003527FF" w:rsidP="003527FF">
      <w:pPr>
        <w:rPr>
          <w:rFonts w:ascii="Times New Roman" w:hAnsi="Times New Roman"/>
          <w:color w:val="000000" w:themeColor="text1"/>
          <w:sz w:val="24"/>
          <w:lang w:val="en-US"/>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308"/>
        <w:gridCol w:w="1297"/>
        <w:gridCol w:w="1538"/>
        <w:gridCol w:w="4420"/>
      </w:tblGrid>
      <w:tr w:rsidR="003527FF" w:rsidRPr="006372C1" w:rsidTr="00466E80">
        <w:trPr>
          <w:trHeight w:val="562"/>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tabs>
                <w:tab w:val="right" w:leader="dot" w:pos="14135"/>
              </w:tabs>
              <w:rPr>
                <w:rFonts w:ascii="Times New Roman" w:hAnsi="Times New Roman"/>
                <w:b/>
                <w:color w:val="000000" w:themeColor="text1"/>
                <w:sz w:val="24"/>
                <w:lang w:eastAsia="en-US"/>
              </w:rPr>
            </w:pPr>
            <w:r w:rsidRPr="006372C1">
              <w:rPr>
                <w:rFonts w:ascii="Times New Roman" w:hAnsi="Times New Roman"/>
                <w:b/>
                <w:color w:val="000000" w:themeColor="text1"/>
                <w:spacing w:val="2"/>
                <w:sz w:val="24"/>
              </w:rPr>
              <w:t>Pirkimo objekto</w:t>
            </w:r>
            <w:r w:rsidRPr="006372C1">
              <w:rPr>
                <w:rFonts w:ascii="Times New Roman" w:hAnsi="Times New Roman"/>
                <w:b/>
                <w:color w:val="000000" w:themeColor="text1"/>
                <w:sz w:val="24"/>
              </w:rPr>
              <w:t xml:space="preserve"> pavadinimas ir trumpas aprašymas:</w:t>
            </w:r>
          </w:p>
          <w:p w:rsidR="003527FF" w:rsidRPr="006372C1" w:rsidRDefault="003527FF">
            <w:pPr>
              <w:shd w:val="clear" w:color="auto" w:fill="FFFFFF"/>
              <w:tabs>
                <w:tab w:val="right" w:leader="dot" w:pos="14135"/>
              </w:tabs>
              <w:rPr>
                <w:rFonts w:ascii="Times New Roman" w:hAnsi="Times New Roman"/>
                <w:b/>
                <w:color w:val="000000" w:themeColor="text1"/>
                <w:sz w:val="24"/>
              </w:rPr>
            </w:pPr>
          </w:p>
          <w:p w:rsidR="003527FF" w:rsidRPr="006372C1" w:rsidRDefault="003527FF">
            <w:pPr>
              <w:shd w:val="clear" w:color="auto" w:fill="FFFFFF"/>
              <w:tabs>
                <w:tab w:val="right" w:leader="dot" w:pos="14135"/>
              </w:tabs>
              <w:rPr>
                <w:rFonts w:ascii="Times New Roman" w:hAnsi="Times New Roman"/>
                <w:color w:val="000000" w:themeColor="text1"/>
                <w:sz w:val="24"/>
              </w:rPr>
            </w:pPr>
          </w:p>
          <w:p w:rsidR="003527FF" w:rsidRPr="006372C1" w:rsidRDefault="003527FF">
            <w:pPr>
              <w:shd w:val="clear" w:color="auto" w:fill="FFFFFF"/>
              <w:tabs>
                <w:tab w:val="right" w:leader="dot" w:pos="14135"/>
              </w:tabs>
              <w:rPr>
                <w:rFonts w:ascii="Times New Roman" w:hAnsi="Times New Roman"/>
                <w:color w:val="000000" w:themeColor="text1"/>
                <w:sz w:val="24"/>
                <w:lang w:eastAsia="en-US"/>
              </w:rPr>
            </w:pPr>
          </w:p>
        </w:tc>
      </w:tr>
      <w:tr w:rsidR="003527FF" w:rsidRPr="006372C1" w:rsidTr="00EB581A">
        <w:trPr>
          <w:trHeight w:val="217"/>
        </w:trPr>
        <w:tc>
          <w:tcPr>
            <w:tcW w:w="1207" w:type="pct"/>
            <w:tcBorders>
              <w:top w:val="single" w:sz="4" w:space="0" w:color="auto"/>
              <w:left w:val="single" w:sz="4" w:space="0" w:color="auto"/>
              <w:bottom w:val="single" w:sz="4" w:space="0" w:color="auto"/>
              <w:right w:val="single" w:sz="4" w:space="0" w:color="auto"/>
            </w:tcBorders>
            <w:shd w:val="clear" w:color="auto" w:fill="FFFFFF"/>
            <w:hideMark/>
          </w:tcPr>
          <w:p w:rsidR="003527FF" w:rsidRPr="006372C1" w:rsidRDefault="003527FF" w:rsidP="00232FC0">
            <w:pPr>
              <w:shd w:val="clear" w:color="auto" w:fill="FFFFFF"/>
              <w:ind w:firstLine="0"/>
              <w:rPr>
                <w:rFonts w:ascii="Times New Roman" w:hAnsi="Times New Roman"/>
                <w:color w:val="000000" w:themeColor="text1"/>
                <w:sz w:val="24"/>
              </w:rPr>
            </w:pPr>
            <w:r w:rsidRPr="006372C1">
              <w:rPr>
                <w:rFonts w:ascii="Times New Roman" w:hAnsi="Times New Roman"/>
                <w:color w:val="000000" w:themeColor="text1"/>
                <w:sz w:val="24"/>
              </w:rPr>
              <w:t>Apklausos būdai:</w:t>
            </w:r>
          </w:p>
          <w:p w:rsidR="00EB581A" w:rsidRPr="006372C1" w:rsidRDefault="00EB581A" w:rsidP="00232FC0">
            <w:pPr>
              <w:shd w:val="clear" w:color="auto" w:fill="FFFFFF"/>
              <w:ind w:firstLine="0"/>
              <w:rPr>
                <w:rFonts w:ascii="Times New Roman" w:hAnsi="Times New Roman"/>
                <w:color w:val="000000" w:themeColor="text1"/>
                <w:sz w:val="24"/>
                <w:lang w:eastAsia="en-US"/>
              </w:rPr>
            </w:pPr>
            <w:r w:rsidRPr="006372C1">
              <w:rPr>
                <w:rFonts w:ascii="Times New Roman" w:hAnsi="Times New Roman"/>
                <w:color w:val="000000" w:themeColor="text1"/>
                <w:sz w:val="24"/>
              </w:rPr>
              <w:t>(reikiamą pabraukti)</w:t>
            </w:r>
          </w:p>
        </w:tc>
        <w:tc>
          <w:tcPr>
            <w:tcW w:w="379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527FF" w:rsidRPr="006372C1" w:rsidRDefault="003527FF" w:rsidP="00EB581A">
            <w:pPr>
              <w:shd w:val="clear" w:color="auto" w:fill="FFFFFF"/>
              <w:rPr>
                <w:rFonts w:ascii="Times New Roman" w:hAnsi="Times New Roman"/>
                <w:color w:val="000000" w:themeColor="text1"/>
                <w:sz w:val="24"/>
                <w:lang w:eastAsia="en-US"/>
              </w:rPr>
            </w:pPr>
            <w:r w:rsidRPr="006372C1">
              <w:rPr>
                <w:rFonts w:ascii="Times New Roman" w:hAnsi="Times New Roman"/>
                <w:color w:val="000000" w:themeColor="text1"/>
                <w:sz w:val="24"/>
              </w:rPr>
              <w:t xml:space="preserve">                             Raštu ⁯                         Žodžiu ⁯</w:t>
            </w:r>
          </w:p>
        </w:tc>
      </w:tr>
      <w:tr w:rsidR="003527FF" w:rsidRPr="006372C1" w:rsidTr="00466E80">
        <w:trPr>
          <w:trHeight w:val="223"/>
        </w:trPr>
        <w:tc>
          <w:tcPr>
            <w:tcW w:w="188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527FF" w:rsidRPr="006372C1" w:rsidRDefault="003527FF" w:rsidP="00054B56">
            <w:pPr>
              <w:shd w:val="clear" w:color="auto" w:fill="FFFFFF"/>
              <w:ind w:firstLine="0"/>
              <w:rPr>
                <w:rFonts w:ascii="Times New Roman" w:hAnsi="Times New Roman"/>
                <w:color w:val="000000" w:themeColor="text1"/>
                <w:sz w:val="24"/>
                <w:lang w:eastAsia="en-US"/>
              </w:rPr>
            </w:pPr>
            <w:r w:rsidRPr="006372C1">
              <w:rPr>
                <w:rFonts w:ascii="Times New Roman" w:hAnsi="Times New Roman"/>
                <w:color w:val="000000" w:themeColor="text1"/>
                <w:sz w:val="24"/>
              </w:rPr>
              <w:t>Apklausos būdo pagrindas</w:t>
            </w:r>
          </w:p>
          <w:p w:rsidR="003527FF" w:rsidRPr="006372C1" w:rsidRDefault="003527FF" w:rsidP="00054B56">
            <w:pPr>
              <w:shd w:val="clear" w:color="auto" w:fill="FFFFFF"/>
              <w:ind w:firstLine="0"/>
              <w:rPr>
                <w:rFonts w:ascii="Times New Roman" w:hAnsi="Times New Roman"/>
                <w:color w:val="000000" w:themeColor="text1"/>
                <w:sz w:val="24"/>
                <w:lang w:eastAsia="en-US"/>
              </w:rPr>
            </w:pPr>
            <w:r w:rsidRPr="006372C1">
              <w:rPr>
                <w:rFonts w:ascii="Times New Roman" w:hAnsi="Times New Roman"/>
                <w:color w:val="000000" w:themeColor="text1"/>
                <w:sz w:val="24"/>
              </w:rPr>
              <w:t>(</w:t>
            </w:r>
            <w:r w:rsidR="00EB581A" w:rsidRPr="006372C1">
              <w:rPr>
                <w:rFonts w:ascii="Times New Roman" w:hAnsi="Times New Roman"/>
                <w:color w:val="000000" w:themeColor="text1"/>
                <w:sz w:val="24"/>
              </w:rPr>
              <w:t>SVP Taisyklių punktas</w:t>
            </w:r>
            <w:r w:rsidRPr="006372C1">
              <w:rPr>
                <w:rFonts w:ascii="Times New Roman" w:hAnsi="Times New Roman"/>
                <w:color w:val="000000" w:themeColor="text1"/>
                <w:sz w:val="24"/>
              </w:rPr>
              <w:t>)</w:t>
            </w:r>
          </w:p>
        </w:tc>
        <w:tc>
          <w:tcPr>
            <w:tcW w:w="3115" w:type="pct"/>
            <w:gridSpan w:val="2"/>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rPr>
                <w:rFonts w:ascii="Times New Roman" w:hAnsi="Times New Roman"/>
                <w:color w:val="000000" w:themeColor="text1"/>
                <w:sz w:val="24"/>
                <w:lang w:eastAsia="en-US"/>
              </w:rPr>
            </w:pPr>
          </w:p>
          <w:p w:rsidR="003527FF" w:rsidRPr="006372C1" w:rsidRDefault="003527FF">
            <w:pPr>
              <w:shd w:val="clear" w:color="auto" w:fill="FFFFFF"/>
              <w:rPr>
                <w:rFonts w:ascii="Times New Roman" w:hAnsi="Times New Roman"/>
                <w:color w:val="000000" w:themeColor="text1"/>
                <w:sz w:val="24"/>
                <w:lang w:eastAsia="en-US"/>
              </w:rPr>
            </w:pPr>
          </w:p>
        </w:tc>
      </w:tr>
      <w:tr w:rsidR="003527FF" w:rsidRPr="006372C1" w:rsidTr="00EB581A">
        <w:trPr>
          <w:cantSplit/>
        </w:trPr>
        <w:tc>
          <w:tcPr>
            <w:tcW w:w="268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527FF" w:rsidRPr="006372C1" w:rsidRDefault="003527FF" w:rsidP="00EB581A">
            <w:pPr>
              <w:shd w:val="clear" w:color="auto" w:fill="FFFFFF"/>
              <w:ind w:firstLine="0"/>
              <w:rPr>
                <w:rFonts w:ascii="Times New Roman" w:hAnsi="Times New Roman"/>
                <w:color w:val="000000" w:themeColor="text1"/>
                <w:sz w:val="24"/>
                <w:lang w:eastAsia="en-US"/>
              </w:rPr>
            </w:pPr>
            <w:r w:rsidRPr="006372C1">
              <w:rPr>
                <w:rFonts w:ascii="Times New Roman" w:hAnsi="Times New Roman"/>
                <w:color w:val="000000" w:themeColor="text1"/>
                <w:sz w:val="24"/>
              </w:rPr>
              <w:t>Jei bus apklausiama mažiau negu 3 tiekėjai, to priežastys (</w:t>
            </w:r>
            <w:r w:rsidR="00EB581A" w:rsidRPr="006372C1">
              <w:rPr>
                <w:rFonts w:ascii="Times New Roman" w:hAnsi="Times New Roman"/>
                <w:color w:val="000000" w:themeColor="text1"/>
                <w:sz w:val="24"/>
              </w:rPr>
              <w:t xml:space="preserve">SVP </w:t>
            </w:r>
            <w:r w:rsidRPr="006372C1">
              <w:rPr>
                <w:rFonts w:ascii="Times New Roman" w:hAnsi="Times New Roman"/>
                <w:color w:val="000000" w:themeColor="text1"/>
                <w:sz w:val="24"/>
              </w:rPr>
              <w:t>Taisyklių punkta</w:t>
            </w:r>
            <w:r w:rsidR="00EB581A" w:rsidRPr="006372C1">
              <w:rPr>
                <w:rFonts w:ascii="Times New Roman" w:hAnsi="Times New Roman"/>
                <w:color w:val="000000" w:themeColor="text1"/>
                <w:sz w:val="24"/>
              </w:rPr>
              <w:t>s</w:t>
            </w:r>
            <w:r w:rsidRPr="006372C1">
              <w:rPr>
                <w:rFonts w:ascii="Times New Roman" w:hAnsi="Times New Roman"/>
                <w:color w:val="000000" w:themeColor="text1"/>
                <w:sz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r>
    </w:tbl>
    <w:p w:rsidR="003527FF" w:rsidRPr="006372C1" w:rsidRDefault="003527FF" w:rsidP="003527FF">
      <w:pPr>
        <w:rPr>
          <w:rFonts w:ascii="Calibri" w:hAnsi="Calibri"/>
          <w:color w:val="000000" w:themeColor="text1"/>
          <w:sz w:val="22"/>
          <w:szCs w:val="22"/>
          <w:lang w:eastAsia="en-US"/>
        </w:rPr>
      </w:pPr>
    </w:p>
    <w:p w:rsidR="003527FF" w:rsidRPr="006372C1" w:rsidRDefault="003527FF" w:rsidP="003527FF">
      <w:pPr>
        <w:rPr>
          <w:color w:val="000000" w:themeColor="text1"/>
        </w:rPr>
      </w:pPr>
      <w:r w:rsidRPr="006372C1">
        <w:rPr>
          <w:rFonts w:ascii="Times New Roman" w:hAnsi="Times New Roman"/>
          <w:b/>
          <w:color w:val="000000" w:themeColor="text1"/>
          <w:sz w:val="24"/>
        </w:rPr>
        <w:t>Apklausti tiekėjai:</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68"/>
        <w:gridCol w:w="1787"/>
        <w:gridCol w:w="1094"/>
        <w:gridCol w:w="2688"/>
        <w:gridCol w:w="1276"/>
        <w:gridCol w:w="2125"/>
      </w:tblGrid>
      <w:tr w:rsidR="000A38F8" w:rsidRPr="006372C1" w:rsidTr="000A38F8">
        <w:trPr>
          <w:cantSplit/>
          <w:trHeight w:val="295"/>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3527FF" w:rsidRPr="006372C1" w:rsidRDefault="003527FF">
            <w:pPr>
              <w:shd w:val="clear" w:color="auto" w:fill="FFFFFF"/>
              <w:jc w:val="center"/>
              <w:rPr>
                <w:rFonts w:ascii="Times New Roman" w:hAnsi="Times New Roman"/>
                <w:color w:val="000000" w:themeColor="text1"/>
                <w:sz w:val="24"/>
                <w:lang w:eastAsia="en-US"/>
              </w:rPr>
            </w:pPr>
            <w:proofErr w:type="spellStart"/>
            <w:r w:rsidRPr="006372C1">
              <w:rPr>
                <w:rFonts w:ascii="Times New Roman" w:hAnsi="Times New Roman"/>
                <w:color w:val="000000" w:themeColor="text1"/>
                <w:sz w:val="24"/>
              </w:rPr>
              <w:t>E</w:t>
            </w:r>
            <w:r w:rsidR="00054B56" w:rsidRPr="006372C1">
              <w:rPr>
                <w:rFonts w:ascii="Times New Roman" w:hAnsi="Times New Roman"/>
                <w:color w:val="000000" w:themeColor="text1"/>
                <w:sz w:val="24"/>
              </w:rPr>
              <w:t>E</w:t>
            </w:r>
            <w:r w:rsidRPr="006372C1">
              <w:rPr>
                <w:rFonts w:ascii="Times New Roman" w:hAnsi="Times New Roman"/>
                <w:color w:val="000000" w:themeColor="text1"/>
                <w:sz w:val="24"/>
              </w:rPr>
              <w:t>il</w:t>
            </w:r>
            <w:proofErr w:type="spellEnd"/>
            <w:r w:rsidRPr="006372C1">
              <w:rPr>
                <w:rFonts w:ascii="Times New Roman" w:hAnsi="Times New Roman"/>
                <w:color w:val="000000" w:themeColor="text1"/>
                <w:sz w:val="24"/>
              </w:rPr>
              <w:t>. Nr.</w:t>
            </w:r>
          </w:p>
        </w:tc>
        <w:tc>
          <w:tcPr>
            <w:tcW w:w="937" w:type="pct"/>
            <w:tcBorders>
              <w:top w:val="single" w:sz="4" w:space="0" w:color="auto"/>
              <w:left w:val="single" w:sz="4" w:space="0" w:color="auto"/>
              <w:bottom w:val="single" w:sz="4" w:space="0" w:color="auto"/>
              <w:right w:val="single" w:sz="4" w:space="0" w:color="auto"/>
            </w:tcBorders>
            <w:shd w:val="clear" w:color="auto" w:fill="FFFFFF"/>
            <w:hideMark/>
          </w:tcPr>
          <w:p w:rsidR="003527FF" w:rsidRPr="006372C1" w:rsidRDefault="00EB581A" w:rsidP="000A38F8">
            <w:pPr>
              <w:shd w:val="clear" w:color="auto" w:fill="FFFFFF"/>
              <w:ind w:firstLine="0"/>
              <w:rPr>
                <w:rFonts w:ascii="Times New Roman" w:hAnsi="Times New Roman"/>
                <w:color w:val="000000" w:themeColor="text1"/>
                <w:sz w:val="24"/>
                <w:lang w:eastAsia="en-US"/>
              </w:rPr>
            </w:pPr>
            <w:r w:rsidRPr="006372C1">
              <w:rPr>
                <w:rFonts w:ascii="Times New Roman" w:hAnsi="Times New Roman"/>
                <w:color w:val="000000" w:themeColor="text1"/>
                <w:spacing w:val="-1"/>
                <w:sz w:val="24"/>
              </w:rPr>
              <w:t>Tiekėjo p</w:t>
            </w:r>
            <w:r w:rsidR="003527FF" w:rsidRPr="006372C1">
              <w:rPr>
                <w:rFonts w:ascii="Times New Roman" w:hAnsi="Times New Roman"/>
                <w:color w:val="000000" w:themeColor="text1"/>
                <w:spacing w:val="-1"/>
                <w:sz w:val="24"/>
              </w:rPr>
              <w:t>avadinimas,</w:t>
            </w:r>
            <w:r w:rsidR="003527FF" w:rsidRPr="006372C1">
              <w:rPr>
                <w:rFonts w:ascii="Times New Roman" w:hAnsi="Times New Roman"/>
                <w:color w:val="000000" w:themeColor="text1"/>
                <w:spacing w:val="-3"/>
                <w:sz w:val="24"/>
              </w:rPr>
              <w:t xml:space="preserve"> </w:t>
            </w:r>
            <w:r w:rsidRPr="006372C1">
              <w:rPr>
                <w:rFonts w:ascii="Times New Roman" w:hAnsi="Times New Roman"/>
                <w:color w:val="000000" w:themeColor="text1"/>
                <w:spacing w:val="-3"/>
                <w:sz w:val="24"/>
              </w:rPr>
              <w:t xml:space="preserve">adresas, </w:t>
            </w:r>
            <w:r w:rsidR="003527FF" w:rsidRPr="006372C1">
              <w:rPr>
                <w:rFonts w:ascii="Times New Roman" w:hAnsi="Times New Roman"/>
                <w:color w:val="000000" w:themeColor="text1"/>
                <w:spacing w:val="-3"/>
                <w:sz w:val="24"/>
              </w:rPr>
              <w:t xml:space="preserve"> </w:t>
            </w:r>
            <w:r w:rsidRPr="006372C1">
              <w:rPr>
                <w:rFonts w:ascii="Times New Roman" w:hAnsi="Times New Roman"/>
                <w:color w:val="000000" w:themeColor="text1"/>
                <w:spacing w:val="-3"/>
                <w:sz w:val="24"/>
              </w:rPr>
              <w:t>tel</w:t>
            </w:r>
            <w:r w:rsidR="00891306" w:rsidRPr="006372C1">
              <w:rPr>
                <w:rFonts w:ascii="Times New Roman" w:hAnsi="Times New Roman"/>
                <w:color w:val="000000" w:themeColor="text1"/>
                <w:spacing w:val="-3"/>
                <w:sz w:val="24"/>
              </w:rPr>
              <w:t xml:space="preserve">. </w:t>
            </w:r>
            <w:r w:rsidRPr="006372C1">
              <w:rPr>
                <w:rFonts w:ascii="Times New Roman" w:hAnsi="Times New Roman"/>
                <w:color w:val="000000" w:themeColor="text1"/>
                <w:spacing w:val="-3"/>
                <w:sz w:val="24"/>
              </w:rPr>
              <w:t xml:space="preserve"> Nr., el. pašto adresas</w:t>
            </w:r>
          </w:p>
        </w:tc>
        <w:tc>
          <w:tcPr>
            <w:tcW w:w="573" w:type="pct"/>
            <w:tcBorders>
              <w:top w:val="single" w:sz="4" w:space="0" w:color="auto"/>
              <w:left w:val="single" w:sz="4" w:space="0" w:color="auto"/>
              <w:bottom w:val="single" w:sz="4" w:space="0" w:color="auto"/>
              <w:right w:val="single" w:sz="4" w:space="0" w:color="auto"/>
            </w:tcBorders>
            <w:shd w:val="clear" w:color="auto" w:fill="FFFFFF"/>
            <w:hideMark/>
          </w:tcPr>
          <w:p w:rsidR="003527FF" w:rsidRPr="006372C1" w:rsidRDefault="00891306" w:rsidP="00054B56">
            <w:pPr>
              <w:shd w:val="clear" w:color="auto" w:fill="FFFFFF"/>
              <w:ind w:firstLine="0"/>
              <w:rPr>
                <w:rFonts w:ascii="Times New Roman" w:hAnsi="Times New Roman"/>
                <w:color w:val="000000" w:themeColor="text1"/>
                <w:sz w:val="24"/>
                <w:lang w:eastAsia="en-US"/>
              </w:rPr>
            </w:pPr>
            <w:r w:rsidRPr="006372C1">
              <w:rPr>
                <w:rFonts w:ascii="Times New Roman" w:hAnsi="Times New Roman"/>
                <w:color w:val="000000" w:themeColor="text1"/>
                <w:sz w:val="24"/>
              </w:rPr>
              <w:t>Pa</w:t>
            </w:r>
            <w:r w:rsidR="00713282" w:rsidRPr="006372C1">
              <w:rPr>
                <w:rFonts w:ascii="Times New Roman" w:hAnsi="Times New Roman"/>
                <w:color w:val="000000" w:themeColor="text1"/>
                <w:sz w:val="24"/>
              </w:rPr>
              <w:t>s</w:t>
            </w:r>
            <w:r w:rsidRPr="006372C1">
              <w:rPr>
                <w:rFonts w:ascii="Times New Roman" w:hAnsi="Times New Roman"/>
                <w:color w:val="000000" w:themeColor="text1"/>
                <w:sz w:val="24"/>
              </w:rPr>
              <w:t>iūlymo data</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891306" w:rsidRPr="006372C1" w:rsidRDefault="00891306" w:rsidP="00054B56">
            <w:pPr>
              <w:shd w:val="clear" w:color="auto" w:fill="FFFFFF"/>
              <w:ind w:firstLine="0"/>
              <w:rPr>
                <w:rFonts w:ascii="Times New Roman" w:hAnsi="Times New Roman"/>
                <w:color w:val="000000" w:themeColor="text1"/>
                <w:sz w:val="24"/>
                <w:lang w:eastAsia="en-US"/>
              </w:rPr>
            </w:pPr>
            <w:proofErr w:type="spellStart"/>
            <w:r w:rsidRPr="006372C1">
              <w:rPr>
                <w:rFonts w:ascii="Times New Roman" w:hAnsi="Times New Roman"/>
                <w:color w:val="000000" w:themeColor="text1"/>
                <w:sz w:val="24"/>
                <w:lang w:val="en-US" w:eastAsia="en-US"/>
              </w:rPr>
              <w:t>Pasiūlytų</w:t>
            </w:r>
            <w:proofErr w:type="spellEnd"/>
            <w:r w:rsidRPr="006372C1">
              <w:rPr>
                <w:rFonts w:ascii="Times New Roman" w:hAnsi="Times New Roman"/>
                <w:color w:val="000000" w:themeColor="text1"/>
                <w:sz w:val="24"/>
                <w:lang w:val="en-US" w:eastAsia="en-US"/>
              </w:rPr>
              <w:t xml:space="preserve"> </w:t>
            </w:r>
            <w:proofErr w:type="spellStart"/>
            <w:r w:rsidRPr="006372C1">
              <w:rPr>
                <w:rFonts w:ascii="Times New Roman" w:hAnsi="Times New Roman"/>
                <w:color w:val="000000" w:themeColor="text1"/>
                <w:sz w:val="24"/>
                <w:lang w:val="en-US" w:eastAsia="en-US"/>
              </w:rPr>
              <w:t>prekių</w:t>
            </w:r>
            <w:proofErr w:type="spellEnd"/>
            <w:r w:rsidRPr="006372C1">
              <w:rPr>
                <w:rFonts w:ascii="Times New Roman" w:hAnsi="Times New Roman"/>
                <w:color w:val="000000" w:themeColor="text1"/>
                <w:sz w:val="24"/>
                <w:lang w:val="en-US" w:eastAsia="en-US"/>
              </w:rPr>
              <w:t xml:space="preserve">, </w:t>
            </w:r>
            <w:proofErr w:type="spellStart"/>
            <w:r w:rsidRPr="006372C1">
              <w:rPr>
                <w:rFonts w:ascii="Times New Roman" w:hAnsi="Times New Roman"/>
                <w:color w:val="000000" w:themeColor="text1"/>
                <w:sz w:val="24"/>
                <w:lang w:val="en-US" w:eastAsia="en-US"/>
              </w:rPr>
              <w:t>paslaugų</w:t>
            </w:r>
            <w:proofErr w:type="spellEnd"/>
            <w:r w:rsidRPr="006372C1">
              <w:rPr>
                <w:rFonts w:ascii="Times New Roman" w:hAnsi="Times New Roman"/>
                <w:color w:val="000000" w:themeColor="text1"/>
                <w:sz w:val="24"/>
                <w:lang w:val="en-US" w:eastAsia="en-US"/>
              </w:rPr>
              <w:t xml:space="preserve"> </w:t>
            </w:r>
            <w:proofErr w:type="spellStart"/>
            <w:r w:rsidRPr="006372C1">
              <w:rPr>
                <w:rFonts w:ascii="Times New Roman" w:hAnsi="Times New Roman"/>
                <w:color w:val="000000" w:themeColor="text1"/>
                <w:sz w:val="24"/>
                <w:lang w:val="en-US" w:eastAsia="en-US"/>
              </w:rPr>
              <w:t>ar</w:t>
            </w:r>
            <w:proofErr w:type="spellEnd"/>
            <w:r w:rsidRPr="006372C1">
              <w:rPr>
                <w:rFonts w:ascii="Times New Roman" w:hAnsi="Times New Roman"/>
                <w:color w:val="000000" w:themeColor="text1"/>
                <w:sz w:val="24"/>
                <w:lang w:val="en-US" w:eastAsia="en-US"/>
              </w:rPr>
              <w:t xml:space="preserve"> </w:t>
            </w:r>
            <w:proofErr w:type="spellStart"/>
            <w:r w:rsidRPr="006372C1">
              <w:rPr>
                <w:rFonts w:ascii="Times New Roman" w:hAnsi="Times New Roman"/>
                <w:color w:val="000000" w:themeColor="text1"/>
                <w:sz w:val="24"/>
                <w:lang w:val="en-US" w:eastAsia="en-US"/>
              </w:rPr>
              <w:t>darbų</w:t>
            </w:r>
            <w:proofErr w:type="spellEnd"/>
            <w:r w:rsidRPr="006372C1">
              <w:rPr>
                <w:rFonts w:ascii="Times New Roman" w:hAnsi="Times New Roman"/>
                <w:color w:val="000000" w:themeColor="text1"/>
                <w:sz w:val="24"/>
                <w:lang w:val="en-US" w:eastAsia="en-US"/>
              </w:rPr>
              <w:t xml:space="preserve"> </w:t>
            </w:r>
            <w:proofErr w:type="spellStart"/>
            <w:r w:rsidRPr="006372C1">
              <w:rPr>
                <w:rFonts w:ascii="Times New Roman" w:hAnsi="Times New Roman"/>
                <w:color w:val="000000" w:themeColor="text1"/>
                <w:sz w:val="24"/>
                <w:lang w:val="en-US" w:eastAsia="en-US"/>
              </w:rPr>
              <w:t>pavadinimas</w:t>
            </w:r>
            <w:proofErr w:type="spellEnd"/>
            <w:r w:rsidRPr="006372C1">
              <w:rPr>
                <w:rFonts w:ascii="Times New Roman" w:hAnsi="Times New Roman"/>
                <w:color w:val="000000" w:themeColor="text1"/>
                <w:sz w:val="24"/>
                <w:lang w:val="en-US" w:eastAsia="en-US"/>
              </w:rPr>
              <w:t xml:space="preserve"> (</w:t>
            </w:r>
            <w:proofErr w:type="spellStart"/>
            <w:r w:rsidRPr="006372C1">
              <w:rPr>
                <w:rFonts w:ascii="Times New Roman" w:hAnsi="Times New Roman"/>
                <w:color w:val="000000" w:themeColor="text1"/>
                <w:sz w:val="24"/>
                <w:lang w:val="en-US" w:eastAsia="en-US"/>
              </w:rPr>
              <w:t>modelis</w:t>
            </w:r>
            <w:proofErr w:type="spellEnd"/>
            <w:r w:rsidRPr="006372C1">
              <w:rPr>
                <w:rFonts w:ascii="Times New Roman" w:hAnsi="Times New Roman"/>
                <w:color w:val="000000" w:themeColor="text1"/>
                <w:sz w:val="24"/>
                <w:lang w:val="en-US" w:eastAsia="en-US"/>
              </w:rPr>
              <w:t xml:space="preserve">, </w:t>
            </w:r>
            <w:proofErr w:type="spellStart"/>
            <w:r w:rsidRPr="006372C1">
              <w:rPr>
                <w:rFonts w:ascii="Times New Roman" w:hAnsi="Times New Roman"/>
                <w:color w:val="000000" w:themeColor="text1"/>
                <w:sz w:val="24"/>
                <w:lang w:val="en-US" w:eastAsia="en-US"/>
              </w:rPr>
              <w:t>markė</w:t>
            </w:r>
            <w:proofErr w:type="spellEnd"/>
            <w:r w:rsidRPr="006372C1">
              <w:rPr>
                <w:rFonts w:ascii="Times New Roman" w:hAnsi="Times New Roman"/>
                <w:color w:val="000000" w:themeColor="text1"/>
                <w:sz w:val="24"/>
                <w:lang w:val="en-US" w:eastAsia="en-US"/>
              </w:rPr>
              <w:t>,</w:t>
            </w:r>
            <w:r w:rsidR="008776DA" w:rsidRPr="006372C1">
              <w:rPr>
                <w:rFonts w:ascii="Times New Roman" w:hAnsi="Times New Roman"/>
                <w:color w:val="000000" w:themeColor="text1"/>
                <w:sz w:val="24"/>
                <w:lang w:val="en-US" w:eastAsia="en-US"/>
              </w:rPr>
              <w:t xml:space="preserve"> </w:t>
            </w:r>
            <w:proofErr w:type="spellStart"/>
            <w:r w:rsidR="008776DA" w:rsidRPr="006372C1">
              <w:rPr>
                <w:rFonts w:ascii="Times New Roman" w:hAnsi="Times New Roman"/>
                <w:color w:val="000000" w:themeColor="text1"/>
                <w:sz w:val="24"/>
                <w:lang w:val="en-US" w:eastAsia="en-US"/>
              </w:rPr>
              <w:t>kiekis</w:t>
            </w:r>
            <w:proofErr w:type="spellEnd"/>
            <w:r w:rsidR="008776DA" w:rsidRPr="006372C1">
              <w:rPr>
                <w:rFonts w:ascii="Times New Roman" w:hAnsi="Times New Roman"/>
                <w:color w:val="000000" w:themeColor="text1"/>
                <w:sz w:val="24"/>
                <w:lang w:val="en-US" w:eastAsia="en-US"/>
              </w:rPr>
              <w:t>,</w:t>
            </w:r>
            <w:r w:rsidRPr="006372C1">
              <w:rPr>
                <w:rFonts w:ascii="Times New Roman" w:hAnsi="Times New Roman"/>
                <w:color w:val="000000" w:themeColor="text1"/>
                <w:sz w:val="24"/>
                <w:lang w:val="en-US" w:eastAsia="en-US"/>
              </w:rPr>
              <w:t xml:space="preserve"> </w:t>
            </w:r>
            <w:proofErr w:type="spellStart"/>
            <w:r w:rsidRPr="006372C1">
              <w:rPr>
                <w:rFonts w:ascii="Times New Roman" w:hAnsi="Times New Roman"/>
                <w:color w:val="000000" w:themeColor="text1"/>
                <w:sz w:val="24"/>
                <w:lang w:val="en-US" w:eastAsia="en-US"/>
              </w:rPr>
              <w:t>trumpas</w:t>
            </w:r>
            <w:proofErr w:type="spellEnd"/>
            <w:r w:rsidRPr="006372C1">
              <w:rPr>
                <w:rFonts w:ascii="Times New Roman" w:hAnsi="Times New Roman"/>
                <w:color w:val="000000" w:themeColor="text1"/>
                <w:sz w:val="24"/>
                <w:lang w:val="en-US" w:eastAsia="en-US"/>
              </w:rPr>
              <w:t xml:space="preserve"> </w:t>
            </w:r>
            <w:proofErr w:type="spellStart"/>
            <w:r w:rsidRPr="006372C1">
              <w:rPr>
                <w:rFonts w:ascii="Times New Roman" w:hAnsi="Times New Roman"/>
                <w:color w:val="000000" w:themeColor="text1"/>
                <w:sz w:val="24"/>
                <w:lang w:val="en-US" w:eastAsia="en-US"/>
              </w:rPr>
              <w:t>aprašymas</w:t>
            </w:r>
            <w:proofErr w:type="spellEnd"/>
            <w:r w:rsidRPr="006372C1">
              <w:rPr>
                <w:rFonts w:ascii="Times New Roman" w:hAnsi="Times New Roman"/>
                <w:color w:val="000000" w:themeColor="text1"/>
                <w:sz w:val="24"/>
                <w:lang w:val="en-US" w:eastAsia="en-US"/>
              </w:rPr>
              <w:t>)</w:t>
            </w:r>
          </w:p>
        </w:tc>
        <w:tc>
          <w:tcPr>
            <w:tcW w:w="669" w:type="pct"/>
            <w:tcBorders>
              <w:top w:val="single" w:sz="4" w:space="0" w:color="auto"/>
              <w:left w:val="single" w:sz="4" w:space="0" w:color="auto"/>
              <w:bottom w:val="single" w:sz="4" w:space="0" w:color="auto"/>
              <w:right w:val="single" w:sz="4" w:space="0" w:color="auto"/>
            </w:tcBorders>
            <w:shd w:val="clear" w:color="auto" w:fill="FFFFFF"/>
            <w:hideMark/>
          </w:tcPr>
          <w:p w:rsidR="003527FF" w:rsidRPr="006372C1" w:rsidRDefault="00891306" w:rsidP="00EE65E7">
            <w:pPr>
              <w:shd w:val="clear" w:color="auto" w:fill="FFFFFF"/>
              <w:ind w:firstLine="0"/>
              <w:rPr>
                <w:rFonts w:ascii="Times New Roman" w:hAnsi="Times New Roman"/>
                <w:color w:val="000000" w:themeColor="text1"/>
                <w:sz w:val="24"/>
                <w:lang w:val="en-US" w:eastAsia="en-US"/>
              </w:rPr>
            </w:pPr>
            <w:proofErr w:type="spellStart"/>
            <w:r w:rsidRPr="006372C1">
              <w:rPr>
                <w:rFonts w:ascii="Times New Roman" w:hAnsi="Times New Roman"/>
                <w:color w:val="000000" w:themeColor="text1"/>
                <w:sz w:val="24"/>
                <w:lang w:val="en-US" w:eastAsia="en-US"/>
              </w:rPr>
              <w:t>Pasiūlymo</w:t>
            </w:r>
            <w:proofErr w:type="spellEnd"/>
            <w:r w:rsidRPr="006372C1">
              <w:rPr>
                <w:rFonts w:ascii="Times New Roman" w:hAnsi="Times New Roman"/>
                <w:color w:val="000000" w:themeColor="text1"/>
                <w:sz w:val="24"/>
                <w:lang w:val="en-US" w:eastAsia="en-US"/>
              </w:rPr>
              <w:t xml:space="preserve"> </w:t>
            </w:r>
            <w:proofErr w:type="spellStart"/>
            <w:r w:rsidRPr="006372C1">
              <w:rPr>
                <w:rFonts w:ascii="Times New Roman" w:hAnsi="Times New Roman"/>
                <w:color w:val="000000" w:themeColor="text1"/>
                <w:sz w:val="24"/>
                <w:lang w:val="en-US" w:eastAsia="en-US"/>
              </w:rPr>
              <w:t>kaina</w:t>
            </w:r>
            <w:proofErr w:type="spellEnd"/>
            <w:r w:rsidRPr="006372C1">
              <w:rPr>
                <w:rFonts w:ascii="Times New Roman" w:hAnsi="Times New Roman"/>
                <w:color w:val="000000" w:themeColor="text1"/>
                <w:sz w:val="24"/>
                <w:lang w:val="en-US" w:eastAsia="en-US"/>
              </w:rPr>
              <w:t xml:space="preserve"> </w:t>
            </w:r>
            <w:proofErr w:type="spellStart"/>
            <w:r w:rsidR="00EE65E7" w:rsidRPr="006372C1">
              <w:rPr>
                <w:rFonts w:ascii="Times New Roman" w:hAnsi="Times New Roman"/>
                <w:color w:val="000000" w:themeColor="text1"/>
                <w:sz w:val="24"/>
                <w:lang w:val="en-US" w:eastAsia="en-US"/>
              </w:rPr>
              <w:t>eurais</w:t>
            </w:r>
            <w:proofErr w:type="spellEnd"/>
            <w:r w:rsidR="00713282" w:rsidRPr="006372C1">
              <w:rPr>
                <w:rFonts w:ascii="Times New Roman" w:hAnsi="Times New Roman"/>
                <w:color w:val="000000" w:themeColor="text1"/>
                <w:sz w:val="24"/>
                <w:lang w:val="en-US" w:eastAsia="en-US"/>
              </w:rPr>
              <w:t xml:space="preserve"> </w:t>
            </w:r>
            <w:r w:rsidRPr="006372C1">
              <w:rPr>
                <w:rFonts w:ascii="Times New Roman" w:hAnsi="Times New Roman"/>
                <w:color w:val="000000" w:themeColor="text1"/>
                <w:sz w:val="24"/>
                <w:lang w:val="en-US" w:eastAsia="en-US"/>
              </w:rPr>
              <w:t xml:space="preserve"> </w:t>
            </w:r>
            <w:proofErr w:type="spellStart"/>
            <w:r w:rsidRPr="006372C1">
              <w:rPr>
                <w:rFonts w:ascii="Times New Roman" w:hAnsi="Times New Roman"/>
                <w:color w:val="000000" w:themeColor="text1"/>
                <w:sz w:val="24"/>
                <w:lang w:val="en-US" w:eastAsia="en-US"/>
              </w:rPr>
              <w:t>su</w:t>
            </w:r>
            <w:proofErr w:type="spellEnd"/>
            <w:r w:rsidRPr="006372C1">
              <w:rPr>
                <w:rFonts w:ascii="Times New Roman" w:hAnsi="Times New Roman"/>
                <w:color w:val="000000" w:themeColor="text1"/>
                <w:sz w:val="24"/>
                <w:lang w:val="en-US" w:eastAsia="en-US"/>
              </w:rPr>
              <w:t xml:space="preserve"> PVM</w:t>
            </w:r>
          </w:p>
        </w:tc>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3527FF" w:rsidRPr="006372C1" w:rsidRDefault="00891306" w:rsidP="00891306">
            <w:pPr>
              <w:shd w:val="clear" w:color="auto" w:fill="FFFFFF"/>
              <w:ind w:firstLine="0"/>
              <w:rPr>
                <w:rFonts w:ascii="Times New Roman" w:hAnsi="Times New Roman"/>
                <w:color w:val="000000" w:themeColor="text1"/>
                <w:sz w:val="24"/>
                <w:lang w:eastAsia="en-US"/>
              </w:rPr>
            </w:pPr>
            <w:r w:rsidRPr="006372C1">
              <w:rPr>
                <w:rFonts w:ascii="Times New Roman" w:hAnsi="Times New Roman"/>
                <w:color w:val="000000" w:themeColor="text1"/>
                <w:sz w:val="24"/>
              </w:rPr>
              <w:t>Pasiūlymą pateikusio asmens pareigos, vardas, pavardė</w:t>
            </w:r>
          </w:p>
        </w:tc>
      </w:tr>
      <w:tr w:rsidR="000A38F8" w:rsidRPr="006372C1" w:rsidTr="000A38F8">
        <w:trPr>
          <w:cantSplit/>
          <w:trHeight w:val="481"/>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713282">
            <w:pPr>
              <w:shd w:val="clear" w:color="auto" w:fill="FFFFFF"/>
              <w:rPr>
                <w:rFonts w:ascii="Times New Roman" w:hAnsi="Times New Roman"/>
                <w:color w:val="000000" w:themeColor="text1"/>
                <w:sz w:val="24"/>
                <w:lang w:eastAsia="en-US"/>
              </w:rPr>
            </w:pPr>
            <w:r w:rsidRPr="006372C1">
              <w:rPr>
                <w:rFonts w:ascii="Times New Roman" w:hAnsi="Times New Roman"/>
                <w:color w:val="000000" w:themeColor="text1"/>
                <w:sz w:val="24"/>
                <w:lang w:eastAsia="en-US"/>
              </w:rPr>
              <w:t>11.</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1114"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r>
      <w:tr w:rsidR="000A38F8" w:rsidRPr="006372C1" w:rsidTr="000A38F8">
        <w:trPr>
          <w:cantSplit/>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713282">
            <w:pPr>
              <w:shd w:val="clear" w:color="auto" w:fill="FFFFFF"/>
              <w:rPr>
                <w:rFonts w:ascii="Times New Roman" w:hAnsi="Times New Roman"/>
                <w:color w:val="000000" w:themeColor="text1"/>
                <w:sz w:val="24"/>
                <w:lang w:eastAsia="en-US"/>
              </w:rPr>
            </w:pPr>
            <w:r w:rsidRPr="006372C1">
              <w:rPr>
                <w:rFonts w:ascii="Times New Roman" w:hAnsi="Times New Roman"/>
                <w:color w:val="000000" w:themeColor="text1"/>
                <w:sz w:val="24"/>
                <w:lang w:eastAsia="en-US"/>
              </w:rPr>
              <w:t>22.</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1114"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r>
      <w:tr w:rsidR="000A38F8" w:rsidRPr="006372C1" w:rsidTr="000A38F8">
        <w:trPr>
          <w:cantSplit/>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713282">
            <w:pPr>
              <w:shd w:val="clear" w:color="auto" w:fill="FFFFFF"/>
              <w:rPr>
                <w:rFonts w:ascii="Times New Roman" w:hAnsi="Times New Roman"/>
                <w:color w:val="000000" w:themeColor="text1"/>
                <w:sz w:val="24"/>
                <w:lang w:eastAsia="en-US"/>
              </w:rPr>
            </w:pPr>
            <w:r w:rsidRPr="006372C1">
              <w:rPr>
                <w:rFonts w:ascii="Times New Roman" w:hAnsi="Times New Roman"/>
                <w:color w:val="000000" w:themeColor="text1"/>
                <w:sz w:val="24"/>
                <w:lang w:eastAsia="en-US"/>
              </w:rPr>
              <w:t>33.</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c>
          <w:tcPr>
            <w:tcW w:w="1114"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rPr>
                <w:rFonts w:ascii="Times New Roman" w:hAnsi="Times New Roman"/>
                <w:color w:val="000000" w:themeColor="text1"/>
                <w:sz w:val="24"/>
                <w:lang w:eastAsia="en-US"/>
              </w:rPr>
            </w:pPr>
          </w:p>
        </w:tc>
      </w:tr>
    </w:tbl>
    <w:p w:rsidR="003527FF" w:rsidRPr="006372C1" w:rsidRDefault="003527FF" w:rsidP="003527FF">
      <w:pPr>
        <w:shd w:val="clear" w:color="auto" w:fill="FFFFFF"/>
        <w:rPr>
          <w:rFonts w:ascii="Times New Roman" w:hAnsi="Times New Roman"/>
          <w:color w:val="000000" w:themeColor="text1"/>
          <w:spacing w:val="-6"/>
          <w:sz w:val="24"/>
          <w:lang w:eastAsia="en-US"/>
        </w:rPr>
      </w:pPr>
    </w:p>
    <w:p w:rsidR="003527FF" w:rsidRPr="006372C1" w:rsidRDefault="003527FF" w:rsidP="003527FF">
      <w:pPr>
        <w:shd w:val="clear" w:color="auto" w:fill="FFFFFF"/>
        <w:rPr>
          <w:rFonts w:ascii="Times New Roman" w:hAnsi="Times New Roman"/>
          <w:color w:val="000000" w:themeColor="text1"/>
          <w:spacing w:val="-6"/>
          <w:sz w:val="24"/>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75"/>
        <w:gridCol w:w="6663"/>
      </w:tblGrid>
      <w:tr w:rsidR="003527FF" w:rsidRPr="006372C1" w:rsidTr="00891306">
        <w:trPr>
          <w:cantSplit/>
          <w:trHeight w:val="299"/>
        </w:trPr>
        <w:tc>
          <w:tcPr>
            <w:tcW w:w="1507" w:type="pct"/>
            <w:tcBorders>
              <w:top w:val="single" w:sz="4" w:space="0" w:color="auto"/>
              <w:left w:val="single" w:sz="4" w:space="0" w:color="auto"/>
              <w:bottom w:val="single" w:sz="4" w:space="0" w:color="auto"/>
              <w:right w:val="single" w:sz="4" w:space="0" w:color="auto"/>
            </w:tcBorders>
            <w:shd w:val="clear" w:color="auto" w:fill="FFFFFF"/>
            <w:hideMark/>
          </w:tcPr>
          <w:p w:rsidR="003527FF" w:rsidRPr="006372C1" w:rsidRDefault="003527FF">
            <w:pPr>
              <w:shd w:val="clear" w:color="auto" w:fill="FFFFFF"/>
              <w:tabs>
                <w:tab w:val="left" w:pos="7048"/>
                <w:tab w:val="right" w:leader="dot" w:pos="9500"/>
              </w:tabs>
              <w:rPr>
                <w:rFonts w:ascii="Times New Roman" w:hAnsi="Times New Roman"/>
                <w:b/>
                <w:color w:val="000000" w:themeColor="text1"/>
                <w:sz w:val="24"/>
                <w:lang w:eastAsia="en-US"/>
              </w:rPr>
            </w:pPr>
            <w:r w:rsidRPr="006372C1">
              <w:rPr>
                <w:rFonts w:ascii="Times New Roman" w:hAnsi="Times New Roman"/>
                <w:b/>
                <w:color w:val="000000" w:themeColor="text1"/>
                <w:spacing w:val="-6"/>
                <w:sz w:val="24"/>
              </w:rPr>
              <w:t>Laimėjusiu pripažintas tiekėjas ir tokio sprendimo priežastys</w:t>
            </w:r>
            <w:r w:rsidR="00891306" w:rsidRPr="006372C1">
              <w:rPr>
                <w:rFonts w:ascii="Times New Roman" w:hAnsi="Times New Roman"/>
                <w:b/>
                <w:color w:val="000000" w:themeColor="text1"/>
                <w:spacing w:val="-6"/>
                <w:sz w:val="24"/>
              </w:rPr>
              <w:t>:</w:t>
            </w:r>
          </w:p>
        </w:tc>
        <w:tc>
          <w:tcPr>
            <w:tcW w:w="3493" w:type="pct"/>
            <w:tcBorders>
              <w:top w:val="single" w:sz="4" w:space="0" w:color="auto"/>
              <w:left w:val="single" w:sz="4" w:space="0" w:color="auto"/>
              <w:bottom w:val="single" w:sz="4" w:space="0" w:color="auto"/>
              <w:right w:val="single" w:sz="4" w:space="0" w:color="auto"/>
            </w:tcBorders>
            <w:shd w:val="clear" w:color="auto" w:fill="FFFFFF"/>
          </w:tcPr>
          <w:p w:rsidR="003527FF" w:rsidRPr="006372C1" w:rsidRDefault="003527FF">
            <w:pPr>
              <w:shd w:val="clear" w:color="auto" w:fill="FFFFFF"/>
              <w:tabs>
                <w:tab w:val="right" w:leader="dot" w:pos="4596"/>
              </w:tabs>
              <w:rPr>
                <w:rFonts w:ascii="Times New Roman" w:hAnsi="Times New Roman"/>
                <w:color w:val="000000" w:themeColor="text1"/>
                <w:sz w:val="24"/>
                <w:lang w:eastAsia="en-US"/>
              </w:rPr>
            </w:pPr>
          </w:p>
        </w:tc>
      </w:tr>
    </w:tbl>
    <w:p w:rsidR="003527FF" w:rsidRPr="006372C1" w:rsidRDefault="003527FF" w:rsidP="003527FF">
      <w:pPr>
        <w:shd w:val="clear" w:color="auto" w:fill="FFFFFF"/>
        <w:rPr>
          <w:rFonts w:ascii="Times New Roman" w:hAnsi="Times New Roman"/>
          <w:color w:val="000000" w:themeColor="text1"/>
          <w:spacing w:val="-6"/>
          <w:sz w:val="24"/>
          <w:lang w:eastAsia="en-US"/>
        </w:rPr>
      </w:pPr>
    </w:p>
    <w:p w:rsidR="003527FF" w:rsidRPr="006372C1" w:rsidRDefault="003527FF" w:rsidP="003527FF">
      <w:pPr>
        <w:shd w:val="clear" w:color="auto" w:fill="FFFFFF"/>
        <w:tabs>
          <w:tab w:val="left" w:pos="4680"/>
          <w:tab w:val="center" w:pos="8647"/>
        </w:tabs>
        <w:rPr>
          <w:rFonts w:ascii="Times New Roman" w:hAnsi="Times New Roman"/>
          <w:color w:val="000000" w:themeColor="text1"/>
          <w:spacing w:val="-6"/>
          <w:sz w:val="24"/>
        </w:rPr>
      </w:pPr>
    </w:p>
    <w:p w:rsidR="003527FF" w:rsidRPr="006372C1" w:rsidRDefault="003527FF" w:rsidP="003527FF">
      <w:pPr>
        <w:shd w:val="clear" w:color="auto" w:fill="FFFFFF"/>
        <w:rPr>
          <w:rFonts w:ascii="Times New Roman" w:hAnsi="Times New Roman"/>
          <w:b/>
          <w:color w:val="000000" w:themeColor="text1"/>
          <w:spacing w:val="-6"/>
          <w:sz w:val="24"/>
        </w:rPr>
      </w:pPr>
      <w:r w:rsidRPr="006372C1">
        <w:rPr>
          <w:rFonts w:ascii="Times New Roman" w:hAnsi="Times New Roman"/>
          <w:b/>
          <w:color w:val="000000" w:themeColor="text1"/>
          <w:spacing w:val="-6"/>
          <w:sz w:val="24"/>
        </w:rPr>
        <w:t>Apklausą atliko ir pažymą parengė (pirkimų organizatorius):</w:t>
      </w:r>
    </w:p>
    <w:p w:rsidR="00891306" w:rsidRPr="006372C1" w:rsidRDefault="00891306" w:rsidP="003527FF">
      <w:pPr>
        <w:shd w:val="clear" w:color="auto" w:fill="FFFFFF"/>
        <w:rPr>
          <w:rFonts w:ascii="Times New Roman" w:hAnsi="Times New Roman"/>
          <w:b/>
          <w:color w:val="000000" w:themeColor="text1"/>
          <w:spacing w:val="-6"/>
          <w:sz w:val="24"/>
        </w:rPr>
      </w:pPr>
    </w:p>
    <w:tbl>
      <w:tblPr>
        <w:tblW w:w="0" w:type="auto"/>
        <w:tblLayout w:type="fixed"/>
        <w:tblLook w:val="01E0" w:firstRow="1" w:lastRow="1" w:firstColumn="1" w:lastColumn="1" w:noHBand="0" w:noVBand="0"/>
      </w:tblPr>
      <w:tblGrid>
        <w:gridCol w:w="3463"/>
        <w:gridCol w:w="2945"/>
        <w:gridCol w:w="2899"/>
      </w:tblGrid>
      <w:tr w:rsidR="003527FF" w:rsidRPr="006372C1" w:rsidTr="003527FF">
        <w:tc>
          <w:tcPr>
            <w:tcW w:w="3463" w:type="dxa"/>
            <w:hideMark/>
          </w:tcPr>
          <w:p w:rsidR="003527FF" w:rsidRPr="006372C1" w:rsidRDefault="003527FF">
            <w:pPr>
              <w:tabs>
                <w:tab w:val="center" w:leader="dot" w:pos="3138"/>
              </w:tabs>
              <w:rPr>
                <w:rFonts w:ascii="Times New Roman" w:hAnsi="Times New Roman"/>
                <w:color w:val="000000" w:themeColor="text1"/>
                <w:sz w:val="24"/>
                <w:lang w:eastAsia="en-US"/>
              </w:rPr>
            </w:pPr>
            <w:r w:rsidRPr="006372C1">
              <w:rPr>
                <w:rFonts w:ascii="Times New Roman" w:hAnsi="Times New Roman"/>
                <w:color w:val="000000" w:themeColor="text1"/>
                <w:sz w:val="24"/>
              </w:rPr>
              <w:tab/>
            </w:r>
          </w:p>
        </w:tc>
        <w:tc>
          <w:tcPr>
            <w:tcW w:w="2945" w:type="dxa"/>
            <w:hideMark/>
          </w:tcPr>
          <w:p w:rsidR="003527FF" w:rsidRPr="006372C1" w:rsidRDefault="003527FF">
            <w:pPr>
              <w:tabs>
                <w:tab w:val="right" w:leader="dot" w:pos="3153"/>
              </w:tabs>
              <w:rPr>
                <w:rFonts w:ascii="Times New Roman" w:hAnsi="Times New Roman"/>
                <w:color w:val="000000" w:themeColor="text1"/>
                <w:sz w:val="24"/>
                <w:lang w:eastAsia="en-US"/>
              </w:rPr>
            </w:pPr>
            <w:r w:rsidRPr="006372C1">
              <w:rPr>
                <w:rFonts w:ascii="Times New Roman" w:hAnsi="Times New Roman"/>
                <w:color w:val="000000" w:themeColor="text1"/>
                <w:sz w:val="24"/>
              </w:rPr>
              <w:tab/>
            </w:r>
          </w:p>
        </w:tc>
        <w:tc>
          <w:tcPr>
            <w:tcW w:w="2899" w:type="dxa"/>
            <w:hideMark/>
          </w:tcPr>
          <w:p w:rsidR="003527FF" w:rsidRPr="006372C1" w:rsidRDefault="003527FF">
            <w:pPr>
              <w:tabs>
                <w:tab w:val="right" w:leader="dot" w:pos="1501"/>
                <w:tab w:val="left" w:pos="1724"/>
                <w:tab w:val="right" w:leader="dot" w:pos="3044"/>
              </w:tabs>
              <w:rPr>
                <w:rFonts w:ascii="Times New Roman" w:hAnsi="Times New Roman"/>
                <w:color w:val="000000" w:themeColor="text1"/>
                <w:sz w:val="24"/>
                <w:lang w:eastAsia="en-US"/>
              </w:rPr>
            </w:pPr>
            <w:r w:rsidRPr="006372C1">
              <w:rPr>
                <w:rFonts w:ascii="Times New Roman" w:hAnsi="Times New Roman"/>
                <w:color w:val="000000" w:themeColor="text1"/>
                <w:sz w:val="24"/>
              </w:rPr>
              <w:tab/>
            </w:r>
            <w:r w:rsidRPr="006372C1">
              <w:rPr>
                <w:rFonts w:ascii="Times New Roman" w:hAnsi="Times New Roman"/>
                <w:color w:val="000000" w:themeColor="text1"/>
                <w:sz w:val="24"/>
              </w:rPr>
              <w:tab/>
            </w:r>
            <w:r w:rsidRPr="006372C1">
              <w:rPr>
                <w:rFonts w:ascii="Times New Roman" w:hAnsi="Times New Roman"/>
                <w:color w:val="000000" w:themeColor="text1"/>
                <w:sz w:val="24"/>
              </w:rPr>
              <w:tab/>
            </w:r>
          </w:p>
        </w:tc>
      </w:tr>
      <w:tr w:rsidR="003527FF" w:rsidRPr="006372C1" w:rsidTr="003527FF">
        <w:tc>
          <w:tcPr>
            <w:tcW w:w="3463" w:type="dxa"/>
            <w:hideMark/>
          </w:tcPr>
          <w:p w:rsidR="003527FF" w:rsidRPr="006372C1" w:rsidRDefault="003527FF">
            <w:pPr>
              <w:jc w:val="center"/>
              <w:rPr>
                <w:rFonts w:ascii="Times New Roman" w:hAnsi="Times New Roman"/>
                <w:color w:val="000000" w:themeColor="text1"/>
                <w:sz w:val="24"/>
                <w:lang w:eastAsia="en-US"/>
              </w:rPr>
            </w:pPr>
            <w:r w:rsidRPr="006372C1">
              <w:rPr>
                <w:rFonts w:ascii="Times New Roman" w:hAnsi="Times New Roman"/>
                <w:color w:val="000000" w:themeColor="text1"/>
                <w:sz w:val="24"/>
              </w:rPr>
              <w:t>(pareigos)</w:t>
            </w:r>
          </w:p>
        </w:tc>
        <w:tc>
          <w:tcPr>
            <w:tcW w:w="2945" w:type="dxa"/>
            <w:hideMark/>
          </w:tcPr>
          <w:p w:rsidR="003527FF" w:rsidRPr="006372C1" w:rsidRDefault="003527FF">
            <w:pPr>
              <w:jc w:val="center"/>
              <w:rPr>
                <w:rFonts w:ascii="Times New Roman" w:hAnsi="Times New Roman"/>
                <w:color w:val="000000" w:themeColor="text1"/>
                <w:sz w:val="24"/>
                <w:lang w:eastAsia="en-US"/>
              </w:rPr>
            </w:pPr>
            <w:r w:rsidRPr="006372C1">
              <w:rPr>
                <w:rFonts w:ascii="Times New Roman" w:hAnsi="Times New Roman"/>
                <w:color w:val="000000" w:themeColor="text1"/>
                <w:sz w:val="24"/>
              </w:rPr>
              <w:t>(vardas, pavardė)</w:t>
            </w:r>
          </w:p>
        </w:tc>
        <w:tc>
          <w:tcPr>
            <w:tcW w:w="2899" w:type="dxa"/>
            <w:hideMark/>
          </w:tcPr>
          <w:p w:rsidR="003527FF" w:rsidRPr="006372C1" w:rsidRDefault="003527FF">
            <w:pPr>
              <w:jc w:val="center"/>
              <w:rPr>
                <w:rFonts w:ascii="Times New Roman" w:hAnsi="Times New Roman"/>
                <w:color w:val="000000" w:themeColor="text1"/>
                <w:sz w:val="24"/>
                <w:lang w:eastAsia="en-US"/>
              </w:rPr>
            </w:pPr>
            <w:r w:rsidRPr="006372C1">
              <w:rPr>
                <w:rFonts w:ascii="Times New Roman" w:hAnsi="Times New Roman"/>
                <w:color w:val="000000" w:themeColor="text1"/>
                <w:sz w:val="24"/>
              </w:rPr>
              <w:t>(parašas, data)</w:t>
            </w:r>
          </w:p>
        </w:tc>
      </w:tr>
    </w:tbl>
    <w:p w:rsidR="00181BA4" w:rsidRPr="006372C1" w:rsidRDefault="00181BA4" w:rsidP="000A38F8">
      <w:pPr>
        <w:shd w:val="clear" w:color="auto" w:fill="FFFFFF"/>
        <w:ind w:firstLine="5812"/>
        <w:rPr>
          <w:rFonts w:ascii="Times New Roman" w:hAnsi="Times New Roman"/>
          <w:color w:val="000000" w:themeColor="text1"/>
          <w:spacing w:val="-1"/>
          <w:sz w:val="24"/>
        </w:rPr>
      </w:pPr>
    </w:p>
    <w:p w:rsidR="000D692F" w:rsidRPr="006372C1" w:rsidRDefault="000D692F" w:rsidP="000A38F8">
      <w:pPr>
        <w:shd w:val="clear" w:color="auto" w:fill="FFFFFF"/>
        <w:ind w:firstLine="5812"/>
        <w:rPr>
          <w:rFonts w:ascii="Times New Roman" w:hAnsi="Times New Roman"/>
          <w:color w:val="000000" w:themeColor="text1"/>
          <w:spacing w:val="-1"/>
          <w:sz w:val="24"/>
        </w:rPr>
      </w:pPr>
    </w:p>
    <w:p w:rsidR="00D32596" w:rsidRPr="006372C1" w:rsidRDefault="00D32596" w:rsidP="000A38F8">
      <w:pPr>
        <w:shd w:val="clear" w:color="auto" w:fill="FFFFFF"/>
        <w:ind w:firstLine="5812"/>
        <w:rPr>
          <w:rFonts w:ascii="Times New Roman" w:hAnsi="Times New Roman"/>
          <w:color w:val="000000" w:themeColor="text1"/>
          <w:spacing w:val="-1"/>
          <w:sz w:val="24"/>
        </w:rPr>
      </w:pPr>
    </w:p>
    <w:p w:rsidR="000A38F8" w:rsidRPr="006372C1" w:rsidRDefault="000A38F8" w:rsidP="000A38F8">
      <w:pPr>
        <w:shd w:val="clear" w:color="auto" w:fill="FFFFFF"/>
        <w:ind w:firstLine="5812"/>
        <w:rPr>
          <w:rFonts w:ascii="Times New Roman" w:hAnsi="Times New Roman"/>
          <w:color w:val="000000" w:themeColor="text1"/>
          <w:spacing w:val="-1"/>
          <w:sz w:val="24"/>
        </w:rPr>
      </w:pPr>
      <w:r w:rsidRPr="006372C1">
        <w:rPr>
          <w:rFonts w:ascii="Times New Roman" w:hAnsi="Times New Roman"/>
          <w:color w:val="000000" w:themeColor="text1"/>
          <w:spacing w:val="-1"/>
          <w:sz w:val="24"/>
        </w:rPr>
        <w:t>Valstybinio socialinio draudimo fondo</w:t>
      </w:r>
    </w:p>
    <w:p w:rsidR="000A38F8" w:rsidRPr="006372C1" w:rsidRDefault="000A38F8" w:rsidP="000A38F8">
      <w:pPr>
        <w:shd w:val="clear" w:color="auto" w:fill="FFFFFF"/>
        <w:ind w:firstLine="5812"/>
        <w:rPr>
          <w:rFonts w:ascii="Times New Roman" w:hAnsi="Times New Roman"/>
          <w:color w:val="000000" w:themeColor="text1"/>
          <w:spacing w:val="-1"/>
          <w:sz w:val="24"/>
        </w:rPr>
      </w:pPr>
      <w:r w:rsidRPr="006372C1">
        <w:rPr>
          <w:rFonts w:ascii="Times New Roman" w:hAnsi="Times New Roman"/>
          <w:color w:val="000000" w:themeColor="text1"/>
          <w:spacing w:val="-1"/>
          <w:sz w:val="24"/>
        </w:rPr>
        <w:t xml:space="preserve">valdybos Utenos skyriaus Supaprastintų </w:t>
      </w:r>
    </w:p>
    <w:p w:rsidR="000A38F8" w:rsidRPr="006372C1" w:rsidRDefault="000A38F8" w:rsidP="000A38F8">
      <w:pPr>
        <w:shd w:val="clear" w:color="auto" w:fill="FFFFFF"/>
        <w:ind w:firstLine="5812"/>
        <w:rPr>
          <w:color w:val="000000" w:themeColor="text1"/>
        </w:rPr>
      </w:pPr>
      <w:r w:rsidRPr="006372C1">
        <w:rPr>
          <w:rFonts w:ascii="Times New Roman" w:hAnsi="Times New Roman"/>
          <w:color w:val="000000" w:themeColor="text1"/>
          <w:spacing w:val="-1"/>
          <w:sz w:val="24"/>
        </w:rPr>
        <w:t>viešųjų</w:t>
      </w:r>
      <w:r w:rsidRPr="006372C1">
        <w:rPr>
          <w:color w:val="000000" w:themeColor="text1"/>
        </w:rPr>
        <w:t xml:space="preserve"> </w:t>
      </w:r>
      <w:r w:rsidRPr="006372C1">
        <w:rPr>
          <w:rFonts w:ascii="Times New Roman" w:hAnsi="Times New Roman"/>
          <w:color w:val="000000" w:themeColor="text1"/>
          <w:spacing w:val="-1"/>
          <w:sz w:val="24"/>
        </w:rPr>
        <w:t>pirkimų taisyklių</w:t>
      </w:r>
    </w:p>
    <w:p w:rsidR="000A38F8" w:rsidRPr="006372C1" w:rsidRDefault="000A38F8" w:rsidP="000A38F8">
      <w:pPr>
        <w:shd w:val="clear" w:color="auto" w:fill="FFFFFF"/>
        <w:tabs>
          <w:tab w:val="left" w:pos="1515"/>
          <w:tab w:val="right" w:pos="9639"/>
        </w:tabs>
        <w:ind w:firstLine="5812"/>
        <w:rPr>
          <w:rFonts w:ascii="Times New Roman" w:hAnsi="Times New Roman"/>
          <w:color w:val="000000" w:themeColor="text1"/>
          <w:spacing w:val="-4"/>
          <w:sz w:val="24"/>
        </w:rPr>
      </w:pPr>
      <w:r w:rsidRPr="006372C1">
        <w:rPr>
          <w:rFonts w:ascii="Times New Roman" w:hAnsi="Times New Roman"/>
          <w:color w:val="000000" w:themeColor="text1"/>
          <w:spacing w:val="-1"/>
          <w:sz w:val="24"/>
        </w:rPr>
        <w:t>2 priedas</w:t>
      </w:r>
      <w:r w:rsidRPr="006372C1">
        <w:rPr>
          <w:rFonts w:ascii="Times New Roman" w:hAnsi="Times New Roman"/>
          <w:color w:val="000000" w:themeColor="text1"/>
          <w:spacing w:val="-1"/>
          <w:sz w:val="24"/>
        </w:rPr>
        <w:tab/>
      </w:r>
      <w:r w:rsidRPr="006372C1">
        <w:rPr>
          <w:rFonts w:ascii="Times New Roman" w:hAnsi="Times New Roman"/>
          <w:color w:val="000000" w:themeColor="text1"/>
          <w:spacing w:val="-1"/>
          <w:sz w:val="24"/>
        </w:rPr>
        <w:tab/>
      </w:r>
    </w:p>
    <w:p w:rsidR="003527FF" w:rsidRPr="006372C1" w:rsidRDefault="000A38F8" w:rsidP="003527FF">
      <w:pPr>
        <w:rPr>
          <w:rFonts w:ascii="Times New Roman" w:hAnsi="Times New Roman"/>
          <w:color w:val="000000" w:themeColor="text1"/>
          <w:sz w:val="24"/>
        </w:rPr>
      </w:pPr>
      <w:r w:rsidRPr="006372C1">
        <w:rPr>
          <w:rFonts w:ascii="Times New Roman" w:hAnsi="Times New Roman"/>
          <w:color w:val="000000" w:themeColor="text1"/>
          <w:sz w:val="24"/>
        </w:rPr>
        <w:t xml:space="preserve">                                               </w:t>
      </w:r>
    </w:p>
    <w:p w:rsidR="003527FF" w:rsidRPr="006372C1" w:rsidRDefault="003527FF" w:rsidP="003527FF">
      <w:pPr>
        <w:rPr>
          <w:rFonts w:ascii="Times New Roman" w:hAnsi="Times New Roman"/>
          <w:color w:val="000000" w:themeColor="text1"/>
          <w:sz w:val="24"/>
        </w:rPr>
      </w:pPr>
    </w:p>
    <w:p w:rsidR="003527FF" w:rsidRPr="006372C1" w:rsidRDefault="003527FF" w:rsidP="003527FF">
      <w:pPr>
        <w:jc w:val="center"/>
        <w:rPr>
          <w:rFonts w:ascii="Times New Roman" w:hAnsi="Times New Roman"/>
          <w:b/>
          <w:color w:val="000000" w:themeColor="text1"/>
          <w:sz w:val="24"/>
        </w:rPr>
      </w:pPr>
      <w:r w:rsidRPr="006372C1">
        <w:rPr>
          <w:rFonts w:ascii="Times New Roman" w:hAnsi="Times New Roman"/>
          <w:b/>
          <w:color w:val="000000" w:themeColor="text1"/>
          <w:sz w:val="24"/>
        </w:rPr>
        <w:t xml:space="preserve">Supaprastintų pirkimų žurnalas </w:t>
      </w:r>
    </w:p>
    <w:p w:rsidR="003527FF" w:rsidRPr="006372C1" w:rsidRDefault="003527FF" w:rsidP="003527FF">
      <w:pPr>
        <w:rPr>
          <w:rFonts w:ascii="Times New Roman" w:hAnsi="Times New Roman"/>
          <w:color w:val="000000" w:themeColor="text1"/>
          <w:sz w:val="24"/>
        </w:rPr>
      </w:pPr>
      <w:r w:rsidRPr="006372C1">
        <w:rPr>
          <w:rFonts w:ascii="Times New Roman" w:hAnsi="Times New Roman"/>
          <w:color w:val="000000" w:themeColor="text1"/>
          <w:sz w:val="24"/>
        </w:rPr>
        <w:t>Pradėtas pildyti ______</w:t>
      </w:r>
    </w:p>
    <w:p w:rsidR="003527FF" w:rsidRPr="006372C1" w:rsidRDefault="003527FF" w:rsidP="003527FF">
      <w:pPr>
        <w:rPr>
          <w:rFonts w:ascii="Times New Roman" w:hAnsi="Times New Roman"/>
          <w:color w:val="000000" w:themeColor="text1"/>
          <w:sz w:val="24"/>
        </w:rPr>
      </w:pPr>
      <w:r w:rsidRPr="006372C1">
        <w:rPr>
          <w:rFonts w:ascii="Times New Roman" w:hAnsi="Times New Roman"/>
          <w:color w:val="000000" w:themeColor="text1"/>
          <w:sz w:val="24"/>
        </w:rPr>
        <w:t>Baigtas pildyti _______</w:t>
      </w:r>
    </w:p>
    <w:p w:rsidR="003527FF" w:rsidRPr="006372C1" w:rsidRDefault="003527FF" w:rsidP="003527FF">
      <w:pPr>
        <w:rPr>
          <w:rFonts w:ascii="Times New Roman" w:hAnsi="Times New Roman"/>
          <w:color w:val="000000" w:themeColor="text1"/>
          <w:sz w:val="24"/>
        </w:rPr>
      </w:pPr>
    </w:p>
    <w:p w:rsidR="003527FF" w:rsidRPr="006372C1" w:rsidRDefault="003527FF" w:rsidP="003527FF">
      <w:pPr>
        <w:rPr>
          <w:rFonts w:ascii="Times New Roman" w:hAnsi="Times New Roman"/>
          <w:color w:val="000000" w:themeColor="text1"/>
          <w:sz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95"/>
        <w:gridCol w:w="1267"/>
        <w:gridCol w:w="1431"/>
        <w:gridCol w:w="1259"/>
        <w:gridCol w:w="1096"/>
        <w:gridCol w:w="1242"/>
        <w:gridCol w:w="1267"/>
      </w:tblGrid>
      <w:tr w:rsidR="003527FF" w:rsidRPr="006372C1" w:rsidTr="00E1250F">
        <w:tc>
          <w:tcPr>
            <w:tcW w:w="648" w:type="dxa"/>
            <w:tcBorders>
              <w:top w:val="single" w:sz="4" w:space="0" w:color="auto"/>
              <w:left w:val="single" w:sz="4" w:space="0" w:color="auto"/>
              <w:bottom w:val="single" w:sz="4" w:space="0" w:color="auto"/>
              <w:right w:val="single" w:sz="4" w:space="0" w:color="auto"/>
            </w:tcBorders>
            <w:hideMark/>
          </w:tcPr>
          <w:p w:rsidR="003527FF" w:rsidRPr="006372C1" w:rsidRDefault="003527FF">
            <w:pPr>
              <w:rPr>
                <w:rFonts w:ascii="Times New Roman" w:hAnsi="Times New Roman"/>
                <w:color w:val="000000" w:themeColor="text1"/>
                <w:sz w:val="24"/>
                <w:lang w:eastAsia="en-US"/>
              </w:rPr>
            </w:pPr>
            <w:r w:rsidRPr="006372C1">
              <w:rPr>
                <w:rFonts w:ascii="Times New Roman" w:hAnsi="Times New Roman"/>
                <w:color w:val="000000" w:themeColor="text1"/>
                <w:sz w:val="24"/>
              </w:rPr>
              <w:t>.</w:t>
            </w:r>
            <w:r w:rsidR="00232FC0" w:rsidRPr="006372C1">
              <w:rPr>
                <w:rFonts w:ascii="Times New Roman" w:hAnsi="Times New Roman"/>
                <w:color w:val="000000" w:themeColor="text1"/>
                <w:sz w:val="24"/>
              </w:rPr>
              <w:t>Eil.</w:t>
            </w:r>
            <w:r w:rsidRPr="006372C1">
              <w:rPr>
                <w:rFonts w:ascii="Times New Roman" w:hAnsi="Times New Roman"/>
                <w:color w:val="000000" w:themeColor="text1"/>
                <w:sz w:val="24"/>
              </w:rPr>
              <w:t xml:space="preserve"> Nr.</w:t>
            </w:r>
          </w:p>
        </w:tc>
        <w:tc>
          <w:tcPr>
            <w:tcW w:w="1495" w:type="dxa"/>
            <w:tcBorders>
              <w:top w:val="single" w:sz="4" w:space="0" w:color="auto"/>
              <w:left w:val="single" w:sz="4" w:space="0" w:color="auto"/>
              <w:bottom w:val="single" w:sz="4" w:space="0" w:color="auto"/>
              <w:right w:val="single" w:sz="4" w:space="0" w:color="auto"/>
            </w:tcBorders>
            <w:hideMark/>
          </w:tcPr>
          <w:p w:rsidR="003527FF" w:rsidRPr="006372C1" w:rsidRDefault="003527FF" w:rsidP="00232FC0">
            <w:pPr>
              <w:ind w:firstLine="0"/>
              <w:rPr>
                <w:rFonts w:ascii="Times New Roman" w:hAnsi="Times New Roman"/>
                <w:color w:val="000000" w:themeColor="text1"/>
                <w:sz w:val="24"/>
                <w:lang w:eastAsia="en-US"/>
              </w:rPr>
            </w:pPr>
            <w:r w:rsidRPr="006372C1">
              <w:rPr>
                <w:rFonts w:ascii="Times New Roman" w:hAnsi="Times New Roman"/>
                <w:color w:val="000000" w:themeColor="text1"/>
                <w:sz w:val="24"/>
              </w:rPr>
              <w:t>Pirkimo pavadinimas</w:t>
            </w:r>
          </w:p>
        </w:tc>
        <w:tc>
          <w:tcPr>
            <w:tcW w:w="1267" w:type="dxa"/>
            <w:tcBorders>
              <w:top w:val="single" w:sz="4" w:space="0" w:color="auto"/>
              <w:left w:val="single" w:sz="4" w:space="0" w:color="auto"/>
              <w:bottom w:val="single" w:sz="4" w:space="0" w:color="auto"/>
              <w:right w:val="single" w:sz="4" w:space="0" w:color="auto"/>
            </w:tcBorders>
            <w:hideMark/>
          </w:tcPr>
          <w:p w:rsidR="003527FF" w:rsidRPr="006372C1" w:rsidRDefault="003527FF" w:rsidP="00232FC0">
            <w:pPr>
              <w:ind w:firstLine="0"/>
              <w:rPr>
                <w:rFonts w:ascii="Times New Roman" w:hAnsi="Times New Roman"/>
                <w:color w:val="000000" w:themeColor="text1"/>
                <w:sz w:val="24"/>
                <w:lang w:eastAsia="en-US"/>
              </w:rPr>
            </w:pPr>
            <w:r w:rsidRPr="006372C1">
              <w:rPr>
                <w:rFonts w:ascii="Times New Roman" w:hAnsi="Times New Roman"/>
                <w:color w:val="000000" w:themeColor="text1"/>
                <w:sz w:val="24"/>
              </w:rPr>
              <w:t>BVPŽ kodas, paslaugų kategorija</w:t>
            </w:r>
          </w:p>
        </w:tc>
        <w:tc>
          <w:tcPr>
            <w:tcW w:w="1431" w:type="dxa"/>
            <w:tcBorders>
              <w:top w:val="single" w:sz="4" w:space="0" w:color="auto"/>
              <w:left w:val="single" w:sz="4" w:space="0" w:color="auto"/>
              <w:bottom w:val="single" w:sz="4" w:space="0" w:color="auto"/>
              <w:right w:val="single" w:sz="4" w:space="0" w:color="auto"/>
            </w:tcBorders>
            <w:hideMark/>
          </w:tcPr>
          <w:p w:rsidR="003527FF" w:rsidRPr="006372C1" w:rsidRDefault="003527FF" w:rsidP="00232FC0">
            <w:pPr>
              <w:ind w:firstLine="0"/>
              <w:rPr>
                <w:rFonts w:ascii="Times New Roman" w:hAnsi="Times New Roman"/>
                <w:color w:val="000000" w:themeColor="text1"/>
                <w:sz w:val="24"/>
                <w:lang w:eastAsia="en-US"/>
              </w:rPr>
            </w:pPr>
            <w:r w:rsidRPr="006372C1">
              <w:rPr>
                <w:color w:val="000000" w:themeColor="text1"/>
                <w:szCs w:val="20"/>
              </w:rPr>
              <w:t>Tiekėjo pavadinimas</w:t>
            </w:r>
          </w:p>
        </w:tc>
        <w:tc>
          <w:tcPr>
            <w:tcW w:w="1259" w:type="dxa"/>
            <w:tcBorders>
              <w:top w:val="single" w:sz="4" w:space="0" w:color="auto"/>
              <w:left w:val="single" w:sz="4" w:space="0" w:color="auto"/>
              <w:bottom w:val="single" w:sz="4" w:space="0" w:color="auto"/>
              <w:right w:val="single" w:sz="4" w:space="0" w:color="auto"/>
            </w:tcBorders>
            <w:hideMark/>
          </w:tcPr>
          <w:p w:rsidR="003527FF" w:rsidRPr="006372C1" w:rsidRDefault="003527FF" w:rsidP="00232FC0">
            <w:pPr>
              <w:ind w:firstLine="0"/>
              <w:rPr>
                <w:color w:val="000000" w:themeColor="text1"/>
                <w:szCs w:val="20"/>
              </w:rPr>
            </w:pPr>
            <w:r w:rsidRPr="006372C1">
              <w:rPr>
                <w:color w:val="000000" w:themeColor="text1"/>
                <w:szCs w:val="20"/>
              </w:rPr>
              <w:t>Sutarties data ir Nr./</w:t>
            </w:r>
          </w:p>
          <w:p w:rsidR="003527FF" w:rsidRPr="006372C1" w:rsidRDefault="003527FF" w:rsidP="00232FC0">
            <w:pPr>
              <w:ind w:firstLine="0"/>
              <w:rPr>
                <w:color w:val="000000" w:themeColor="text1"/>
                <w:szCs w:val="20"/>
              </w:rPr>
            </w:pPr>
            <w:r w:rsidRPr="006372C1">
              <w:rPr>
                <w:color w:val="000000" w:themeColor="text1"/>
                <w:szCs w:val="20"/>
              </w:rPr>
              <w:t xml:space="preserve">Sąsk. </w:t>
            </w:r>
            <w:proofErr w:type="spellStart"/>
            <w:r w:rsidRPr="006372C1">
              <w:rPr>
                <w:color w:val="000000" w:themeColor="text1"/>
                <w:szCs w:val="20"/>
              </w:rPr>
              <w:t>fakt</w:t>
            </w:r>
            <w:proofErr w:type="spellEnd"/>
            <w:r w:rsidRPr="006372C1">
              <w:rPr>
                <w:color w:val="000000" w:themeColor="text1"/>
                <w:szCs w:val="20"/>
              </w:rPr>
              <w:t>. data ir Nr.</w:t>
            </w:r>
          </w:p>
        </w:tc>
        <w:tc>
          <w:tcPr>
            <w:tcW w:w="1096" w:type="dxa"/>
            <w:tcBorders>
              <w:top w:val="single" w:sz="4" w:space="0" w:color="auto"/>
              <w:left w:val="single" w:sz="4" w:space="0" w:color="auto"/>
              <w:bottom w:val="single" w:sz="4" w:space="0" w:color="auto"/>
              <w:right w:val="single" w:sz="4" w:space="0" w:color="auto"/>
            </w:tcBorders>
            <w:hideMark/>
          </w:tcPr>
          <w:p w:rsidR="003527FF" w:rsidRPr="006372C1" w:rsidRDefault="003527FF" w:rsidP="00E1250F">
            <w:pPr>
              <w:ind w:firstLine="0"/>
              <w:rPr>
                <w:rFonts w:ascii="Times New Roman" w:hAnsi="Times New Roman"/>
                <w:color w:val="000000" w:themeColor="text1"/>
                <w:sz w:val="24"/>
                <w:lang w:eastAsia="en-US"/>
              </w:rPr>
            </w:pPr>
            <w:r w:rsidRPr="006372C1">
              <w:rPr>
                <w:color w:val="000000" w:themeColor="text1"/>
                <w:szCs w:val="20"/>
              </w:rPr>
              <w:t>Sutarties/ sąsk.</w:t>
            </w:r>
            <w:r w:rsidR="00E1250F" w:rsidRPr="006372C1">
              <w:rPr>
                <w:color w:val="000000" w:themeColor="text1"/>
                <w:szCs w:val="20"/>
              </w:rPr>
              <w:t xml:space="preserve"> </w:t>
            </w:r>
            <w:proofErr w:type="spellStart"/>
            <w:r w:rsidRPr="006372C1">
              <w:rPr>
                <w:color w:val="000000" w:themeColor="text1"/>
                <w:szCs w:val="20"/>
              </w:rPr>
              <w:t>fakt</w:t>
            </w:r>
            <w:proofErr w:type="spellEnd"/>
            <w:r w:rsidRPr="006372C1">
              <w:rPr>
                <w:color w:val="000000" w:themeColor="text1"/>
                <w:szCs w:val="20"/>
              </w:rPr>
              <w:t xml:space="preserve">. vertė </w:t>
            </w:r>
            <w:r w:rsidR="008F625E" w:rsidRPr="006372C1">
              <w:rPr>
                <w:color w:val="000000" w:themeColor="text1"/>
                <w:szCs w:val="20"/>
              </w:rPr>
              <w:t>eurais</w:t>
            </w:r>
          </w:p>
        </w:tc>
        <w:tc>
          <w:tcPr>
            <w:tcW w:w="1242" w:type="dxa"/>
            <w:tcBorders>
              <w:top w:val="single" w:sz="4" w:space="0" w:color="auto"/>
              <w:left w:val="single" w:sz="4" w:space="0" w:color="auto"/>
              <w:bottom w:val="single" w:sz="4" w:space="0" w:color="auto"/>
              <w:right w:val="single" w:sz="4" w:space="0" w:color="auto"/>
            </w:tcBorders>
            <w:hideMark/>
          </w:tcPr>
          <w:p w:rsidR="003527FF" w:rsidRPr="006372C1" w:rsidRDefault="003527FF" w:rsidP="00232FC0">
            <w:pPr>
              <w:ind w:firstLine="0"/>
              <w:rPr>
                <w:rFonts w:ascii="Times New Roman" w:hAnsi="Times New Roman"/>
                <w:color w:val="000000" w:themeColor="text1"/>
                <w:sz w:val="24"/>
                <w:lang w:eastAsia="en-US"/>
              </w:rPr>
            </w:pPr>
            <w:r w:rsidRPr="006372C1">
              <w:rPr>
                <w:color w:val="000000" w:themeColor="text1"/>
                <w:szCs w:val="20"/>
              </w:rPr>
              <w:t>Sutarties galiojimo terminai (jeigu nustatyti)</w:t>
            </w:r>
          </w:p>
        </w:tc>
        <w:tc>
          <w:tcPr>
            <w:tcW w:w="1267" w:type="dxa"/>
            <w:tcBorders>
              <w:top w:val="single" w:sz="4" w:space="0" w:color="auto"/>
              <w:left w:val="single" w:sz="4" w:space="0" w:color="auto"/>
              <w:bottom w:val="single" w:sz="4" w:space="0" w:color="auto"/>
              <w:right w:val="single" w:sz="4" w:space="0" w:color="auto"/>
            </w:tcBorders>
            <w:hideMark/>
          </w:tcPr>
          <w:p w:rsidR="003527FF" w:rsidRPr="006372C1" w:rsidRDefault="003527FF" w:rsidP="00232FC0">
            <w:pPr>
              <w:ind w:firstLine="0"/>
              <w:rPr>
                <w:color w:val="000000" w:themeColor="text1"/>
                <w:szCs w:val="20"/>
              </w:rPr>
            </w:pPr>
            <w:r w:rsidRPr="006372C1">
              <w:rPr>
                <w:color w:val="000000" w:themeColor="text1"/>
                <w:szCs w:val="20"/>
              </w:rPr>
              <w:t>Papildoma informacija</w:t>
            </w:r>
            <w:r w:rsidR="0078368A">
              <w:rPr>
                <w:color w:val="000000" w:themeColor="text1"/>
                <w:szCs w:val="20"/>
              </w:rPr>
              <w:t xml:space="preserve"> (pirkimo būdas ir kt.)</w:t>
            </w: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r w:rsidR="003527FF" w:rsidRPr="006372C1" w:rsidTr="00E1250F">
        <w:tc>
          <w:tcPr>
            <w:tcW w:w="648" w:type="dxa"/>
            <w:tcBorders>
              <w:top w:val="single" w:sz="4" w:space="0" w:color="auto"/>
              <w:left w:val="single" w:sz="4" w:space="0" w:color="auto"/>
              <w:bottom w:val="single" w:sz="4" w:space="0" w:color="auto"/>
              <w:right w:val="single" w:sz="4" w:space="0" w:color="auto"/>
            </w:tcBorders>
          </w:tcPr>
          <w:p w:rsidR="003527FF" w:rsidRPr="006372C1" w:rsidRDefault="003527FF" w:rsidP="003527FF">
            <w:pPr>
              <w:widowControl/>
              <w:numPr>
                <w:ilvl w:val="0"/>
                <w:numId w:val="4"/>
              </w:numPr>
              <w:autoSpaceDE/>
              <w:autoSpaceDN/>
              <w:adjustRightInd/>
              <w:ind w:left="0" w:firstLine="0"/>
              <w:rPr>
                <w:rFonts w:ascii="Times New Roman" w:hAnsi="Times New Roman"/>
                <w:color w:val="000000" w:themeColor="text1"/>
                <w:sz w:val="24"/>
                <w:lang w:eastAsia="en-US"/>
              </w:rPr>
            </w:pPr>
          </w:p>
        </w:tc>
        <w:tc>
          <w:tcPr>
            <w:tcW w:w="1495"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59"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096"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c>
          <w:tcPr>
            <w:tcW w:w="1267" w:type="dxa"/>
            <w:tcBorders>
              <w:top w:val="single" w:sz="4" w:space="0" w:color="auto"/>
              <w:left w:val="single" w:sz="4" w:space="0" w:color="auto"/>
              <w:bottom w:val="single" w:sz="4" w:space="0" w:color="auto"/>
              <w:right w:val="single" w:sz="4" w:space="0" w:color="auto"/>
            </w:tcBorders>
          </w:tcPr>
          <w:p w:rsidR="003527FF" w:rsidRPr="006372C1" w:rsidRDefault="003527FF">
            <w:pPr>
              <w:rPr>
                <w:rFonts w:ascii="Times New Roman" w:hAnsi="Times New Roman"/>
                <w:color w:val="000000" w:themeColor="text1"/>
                <w:sz w:val="24"/>
                <w:lang w:eastAsia="en-US"/>
              </w:rPr>
            </w:pPr>
          </w:p>
        </w:tc>
      </w:tr>
    </w:tbl>
    <w:p w:rsidR="002C566E" w:rsidRPr="006372C1" w:rsidRDefault="003527FF" w:rsidP="00232FC0">
      <w:pPr>
        <w:jc w:val="center"/>
        <w:rPr>
          <w:color w:val="000000" w:themeColor="text1"/>
        </w:rPr>
      </w:pPr>
      <w:r w:rsidRPr="006372C1">
        <w:rPr>
          <w:rFonts w:ascii="Times New Roman" w:hAnsi="Times New Roman"/>
          <w:color w:val="000000" w:themeColor="text1"/>
          <w:sz w:val="24"/>
        </w:rPr>
        <w:t>________________</w:t>
      </w:r>
    </w:p>
    <w:sectPr w:rsidR="002C566E" w:rsidRPr="006372C1" w:rsidSect="00713282">
      <w:headerReference w:type="even" r:id="rId9"/>
      <w:headerReference w:type="default" r:id="rId10"/>
      <w:pgSz w:w="11907" w:h="16839"/>
      <w:pgMar w:top="851" w:right="567" w:bottom="1134" w:left="1701" w:header="567" w:footer="567"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31" w:rsidRDefault="00976831" w:rsidP="00227789">
      <w:r>
        <w:separator/>
      </w:r>
    </w:p>
  </w:endnote>
  <w:endnote w:type="continuationSeparator" w:id="0">
    <w:p w:rsidR="00976831" w:rsidRDefault="00976831" w:rsidP="0022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31" w:rsidRDefault="00976831" w:rsidP="00227789">
      <w:r>
        <w:separator/>
      </w:r>
    </w:p>
  </w:footnote>
  <w:footnote w:type="continuationSeparator" w:id="0">
    <w:p w:rsidR="00976831" w:rsidRDefault="00976831" w:rsidP="0022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72" w:rsidRPr="00052603" w:rsidRDefault="00610F72" w:rsidP="00CE7E2D">
    <w:pPr>
      <w:pStyle w:val="Antrats"/>
      <w:framePr w:wrap="around" w:vAnchor="text" w:hAnchor="margin" w:xAlign="center" w:y="1"/>
      <w:rPr>
        <w:rStyle w:val="Puslapionumeris"/>
        <w:rFonts w:cs="Arial"/>
      </w:rPr>
    </w:pPr>
    <w:r w:rsidRPr="00052603">
      <w:rPr>
        <w:rStyle w:val="Puslapionumeris"/>
        <w:rFonts w:cs="Arial"/>
      </w:rPr>
      <w:fldChar w:fldCharType="begin"/>
    </w:r>
    <w:r w:rsidRPr="00052603">
      <w:rPr>
        <w:rStyle w:val="Puslapionumeris"/>
        <w:rFonts w:cs="Arial"/>
      </w:rPr>
      <w:instrText xml:space="preserve">PAGE  </w:instrText>
    </w:r>
    <w:r w:rsidRPr="00052603">
      <w:rPr>
        <w:rStyle w:val="Puslapionumeris"/>
        <w:rFonts w:cs="Arial"/>
      </w:rPr>
      <w:fldChar w:fldCharType="separate"/>
    </w:r>
    <w:r>
      <w:rPr>
        <w:rStyle w:val="Puslapionumeris"/>
        <w:rFonts w:cs="Arial"/>
        <w:noProof/>
      </w:rPr>
      <w:t>2</w:t>
    </w:r>
    <w:r w:rsidRPr="00052603">
      <w:rPr>
        <w:rStyle w:val="Puslapionumeris"/>
        <w:rFonts w:cs="Arial"/>
      </w:rPr>
      <w:fldChar w:fldCharType="end"/>
    </w:r>
  </w:p>
  <w:p w:rsidR="00610F72" w:rsidRPr="00487DDB" w:rsidRDefault="00610F72" w:rsidP="00CE7E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72" w:rsidRPr="0006617F" w:rsidRDefault="00610F72" w:rsidP="00CE7E2D">
    <w:pPr>
      <w:pStyle w:val="Antrats"/>
      <w:framePr w:wrap="around" w:vAnchor="text" w:hAnchor="margin" w:xAlign="center" w:y="1"/>
      <w:ind w:firstLine="0"/>
      <w:rPr>
        <w:rStyle w:val="Puslapionumeris"/>
        <w:rFonts w:cs="Arial"/>
      </w:rPr>
    </w:pPr>
    <w:r w:rsidRPr="0006617F">
      <w:rPr>
        <w:rStyle w:val="Puslapionumeris"/>
        <w:rFonts w:cs="Arial"/>
      </w:rPr>
      <w:fldChar w:fldCharType="begin"/>
    </w:r>
    <w:r w:rsidRPr="0006617F">
      <w:rPr>
        <w:rStyle w:val="Puslapionumeris"/>
        <w:rFonts w:cs="Arial"/>
      </w:rPr>
      <w:instrText xml:space="preserve">PAGE  </w:instrText>
    </w:r>
    <w:r w:rsidRPr="0006617F">
      <w:rPr>
        <w:rStyle w:val="Puslapionumeris"/>
        <w:rFonts w:cs="Arial"/>
      </w:rPr>
      <w:fldChar w:fldCharType="separate"/>
    </w:r>
    <w:r w:rsidR="00877D06">
      <w:rPr>
        <w:rStyle w:val="Puslapionumeris"/>
        <w:rFonts w:cs="Arial"/>
        <w:noProof/>
      </w:rPr>
      <w:t>2</w:t>
    </w:r>
    <w:r w:rsidRPr="0006617F">
      <w:rPr>
        <w:rStyle w:val="Puslapionumeris"/>
        <w:rFonts w:cs="Arial"/>
      </w:rPr>
      <w:fldChar w:fldCharType="end"/>
    </w:r>
  </w:p>
  <w:p w:rsidR="00610F72" w:rsidRPr="00487DDB" w:rsidRDefault="00610F72" w:rsidP="00CE7E2D">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F79"/>
    <w:multiLevelType w:val="multilevel"/>
    <w:tmpl w:val="7C52D0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50"/>
        </w:tabs>
        <w:ind w:left="1050" w:hanging="6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B5A07A5"/>
    <w:multiLevelType w:val="hybridMultilevel"/>
    <w:tmpl w:val="E53EF7D2"/>
    <w:lvl w:ilvl="0" w:tplc="430695B0">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BDE2125"/>
    <w:multiLevelType w:val="hybridMultilevel"/>
    <w:tmpl w:val="86DABAAE"/>
    <w:lvl w:ilvl="0" w:tplc="4C9A16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96370B9"/>
    <w:multiLevelType w:val="multilevel"/>
    <w:tmpl w:val="B476BF58"/>
    <w:lvl w:ilvl="0">
      <w:start w:val="1"/>
      <w:numFmt w:val="none"/>
      <w:pStyle w:val="Antrat1"/>
      <w:suff w:val="space"/>
      <w:lvlText w:val=""/>
      <w:lvlJc w:val="left"/>
      <w:rPr>
        <w:rFonts w:cs="Times New Roman" w:hint="default"/>
      </w:rPr>
    </w:lvl>
    <w:lvl w:ilvl="1">
      <w:start w:val="1"/>
      <w:numFmt w:val="decimal"/>
      <w:lvlRestart w:val="0"/>
      <w:pStyle w:val="Antrat2"/>
      <w:suff w:val="nothing"/>
      <w:lvlText w:val="%1%2"/>
      <w:lvlJc w:val="left"/>
      <w:pPr>
        <w:ind w:firstLine="720"/>
      </w:pPr>
      <w:rPr>
        <w:rFonts w:cs="Times New Roman" w:hint="default"/>
      </w:rPr>
    </w:lvl>
    <w:lvl w:ilvl="2">
      <w:start w:val="1"/>
      <w:numFmt w:val="decimal"/>
      <w:pStyle w:val="Antrat3"/>
      <w:suff w:val="space"/>
      <w:lvlText w:val="%1%3."/>
      <w:lvlJc w:val="left"/>
      <w:pPr>
        <w:ind w:firstLine="720"/>
      </w:pPr>
      <w:rPr>
        <w:rFonts w:cs="Times New Roman" w:hint="default"/>
      </w:rPr>
    </w:lvl>
    <w:lvl w:ilvl="3">
      <w:start w:val="1"/>
      <w:numFmt w:val="decimal"/>
      <w:pStyle w:val="Antrat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
    <w:nsid w:val="6A532F15"/>
    <w:multiLevelType w:val="hybridMultilevel"/>
    <w:tmpl w:val="E930855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18"/>
    <w:rsid w:val="00010CC9"/>
    <w:rsid w:val="00011C55"/>
    <w:rsid w:val="00014279"/>
    <w:rsid w:val="00015B95"/>
    <w:rsid w:val="00025BC2"/>
    <w:rsid w:val="00033EC8"/>
    <w:rsid w:val="00051D4D"/>
    <w:rsid w:val="00052603"/>
    <w:rsid w:val="00054662"/>
    <w:rsid w:val="00054B56"/>
    <w:rsid w:val="00063399"/>
    <w:rsid w:val="000655AE"/>
    <w:rsid w:val="0006617F"/>
    <w:rsid w:val="00070BF1"/>
    <w:rsid w:val="00070E72"/>
    <w:rsid w:val="000839AC"/>
    <w:rsid w:val="000856F9"/>
    <w:rsid w:val="000858A0"/>
    <w:rsid w:val="00086AD5"/>
    <w:rsid w:val="000879E6"/>
    <w:rsid w:val="000920DA"/>
    <w:rsid w:val="0009264D"/>
    <w:rsid w:val="00093B83"/>
    <w:rsid w:val="00096E09"/>
    <w:rsid w:val="000A2FA5"/>
    <w:rsid w:val="000A38F8"/>
    <w:rsid w:val="000A7B84"/>
    <w:rsid w:val="000B1C05"/>
    <w:rsid w:val="000B652E"/>
    <w:rsid w:val="000C3797"/>
    <w:rsid w:val="000D5424"/>
    <w:rsid w:val="000D692F"/>
    <w:rsid w:val="000E6F28"/>
    <w:rsid w:val="000F4F70"/>
    <w:rsid w:val="000F645A"/>
    <w:rsid w:val="000F6799"/>
    <w:rsid w:val="000F71D8"/>
    <w:rsid w:val="001036C6"/>
    <w:rsid w:val="001066FB"/>
    <w:rsid w:val="00112E2C"/>
    <w:rsid w:val="00117877"/>
    <w:rsid w:val="001434CC"/>
    <w:rsid w:val="0014785A"/>
    <w:rsid w:val="00162DD2"/>
    <w:rsid w:val="00162F0E"/>
    <w:rsid w:val="0016358A"/>
    <w:rsid w:val="0016466A"/>
    <w:rsid w:val="00170EFE"/>
    <w:rsid w:val="00172812"/>
    <w:rsid w:val="001738EA"/>
    <w:rsid w:val="00173933"/>
    <w:rsid w:val="00176F56"/>
    <w:rsid w:val="00181BA4"/>
    <w:rsid w:val="001823A4"/>
    <w:rsid w:val="00182703"/>
    <w:rsid w:val="00186893"/>
    <w:rsid w:val="00190953"/>
    <w:rsid w:val="00193853"/>
    <w:rsid w:val="001A04C0"/>
    <w:rsid w:val="001A334D"/>
    <w:rsid w:val="001A4F76"/>
    <w:rsid w:val="001A6D77"/>
    <w:rsid w:val="001B08ED"/>
    <w:rsid w:val="001B56D6"/>
    <w:rsid w:val="001C30F5"/>
    <w:rsid w:val="001C7A31"/>
    <w:rsid w:val="001D0CEE"/>
    <w:rsid w:val="001D1BA5"/>
    <w:rsid w:val="001E235F"/>
    <w:rsid w:val="001F0E0A"/>
    <w:rsid w:val="00206D9D"/>
    <w:rsid w:val="00207237"/>
    <w:rsid w:val="00207694"/>
    <w:rsid w:val="00210B37"/>
    <w:rsid w:val="00212AFE"/>
    <w:rsid w:val="002145F3"/>
    <w:rsid w:val="00214D27"/>
    <w:rsid w:val="00215EF9"/>
    <w:rsid w:val="002172CB"/>
    <w:rsid w:val="00217CBE"/>
    <w:rsid w:val="002238E6"/>
    <w:rsid w:val="00227789"/>
    <w:rsid w:val="00232FC0"/>
    <w:rsid w:val="002421E2"/>
    <w:rsid w:val="00242720"/>
    <w:rsid w:val="0024535A"/>
    <w:rsid w:val="00247963"/>
    <w:rsid w:val="0025618B"/>
    <w:rsid w:val="00257BC9"/>
    <w:rsid w:val="00264D99"/>
    <w:rsid w:val="00273267"/>
    <w:rsid w:val="00275F37"/>
    <w:rsid w:val="00276768"/>
    <w:rsid w:val="00276D8A"/>
    <w:rsid w:val="0027788F"/>
    <w:rsid w:val="00277E88"/>
    <w:rsid w:val="002803FD"/>
    <w:rsid w:val="00281F7A"/>
    <w:rsid w:val="002845E2"/>
    <w:rsid w:val="00290C6F"/>
    <w:rsid w:val="00291778"/>
    <w:rsid w:val="00295741"/>
    <w:rsid w:val="002A3CD1"/>
    <w:rsid w:val="002B53E9"/>
    <w:rsid w:val="002B5A9D"/>
    <w:rsid w:val="002C1484"/>
    <w:rsid w:val="002C196D"/>
    <w:rsid w:val="002C566E"/>
    <w:rsid w:val="002D0156"/>
    <w:rsid w:val="002E03F5"/>
    <w:rsid w:val="002E283E"/>
    <w:rsid w:val="002E4B32"/>
    <w:rsid w:val="002F009B"/>
    <w:rsid w:val="002F4C11"/>
    <w:rsid w:val="00302A44"/>
    <w:rsid w:val="00310674"/>
    <w:rsid w:val="00315DDD"/>
    <w:rsid w:val="00320D37"/>
    <w:rsid w:val="00323282"/>
    <w:rsid w:val="0032411A"/>
    <w:rsid w:val="003253CB"/>
    <w:rsid w:val="0032564E"/>
    <w:rsid w:val="00336352"/>
    <w:rsid w:val="00346DCB"/>
    <w:rsid w:val="003527FF"/>
    <w:rsid w:val="00355E97"/>
    <w:rsid w:val="00357D78"/>
    <w:rsid w:val="0036542F"/>
    <w:rsid w:val="003827CB"/>
    <w:rsid w:val="00384461"/>
    <w:rsid w:val="00387C59"/>
    <w:rsid w:val="0039288B"/>
    <w:rsid w:val="00392D13"/>
    <w:rsid w:val="0039416B"/>
    <w:rsid w:val="00397D9F"/>
    <w:rsid w:val="003A0FC2"/>
    <w:rsid w:val="003A1FCE"/>
    <w:rsid w:val="003A20F8"/>
    <w:rsid w:val="003A48C2"/>
    <w:rsid w:val="003A4A70"/>
    <w:rsid w:val="003A56E0"/>
    <w:rsid w:val="003B034F"/>
    <w:rsid w:val="003B3AFF"/>
    <w:rsid w:val="003B3EE2"/>
    <w:rsid w:val="003C4DB1"/>
    <w:rsid w:val="003C57D8"/>
    <w:rsid w:val="003D0A57"/>
    <w:rsid w:val="003D49BC"/>
    <w:rsid w:val="003D7FE8"/>
    <w:rsid w:val="003F033E"/>
    <w:rsid w:val="003F0EB2"/>
    <w:rsid w:val="003F1F0C"/>
    <w:rsid w:val="003F6654"/>
    <w:rsid w:val="004075B5"/>
    <w:rsid w:val="00410AD9"/>
    <w:rsid w:val="00442B2B"/>
    <w:rsid w:val="004455F0"/>
    <w:rsid w:val="0045566A"/>
    <w:rsid w:val="00462E94"/>
    <w:rsid w:val="00466E80"/>
    <w:rsid w:val="00467E86"/>
    <w:rsid w:val="004822CB"/>
    <w:rsid w:val="00482535"/>
    <w:rsid w:val="0048681C"/>
    <w:rsid w:val="00487DDB"/>
    <w:rsid w:val="00495D08"/>
    <w:rsid w:val="004972FB"/>
    <w:rsid w:val="004A2D69"/>
    <w:rsid w:val="004A45FB"/>
    <w:rsid w:val="004B168E"/>
    <w:rsid w:val="004B5877"/>
    <w:rsid w:val="004B6422"/>
    <w:rsid w:val="004C108D"/>
    <w:rsid w:val="004C4ADA"/>
    <w:rsid w:val="004D10F0"/>
    <w:rsid w:val="004E2EE3"/>
    <w:rsid w:val="004F3CCA"/>
    <w:rsid w:val="00506882"/>
    <w:rsid w:val="00511157"/>
    <w:rsid w:val="00515113"/>
    <w:rsid w:val="005167E5"/>
    <w:rsid w:val="0052018A"/>
    <w:rsid w:val="00520598"/>
    <w:rsid w:val="005254E3"/>
    <w:rsid w:val="00534B8A"/>
    <w:rsid w:val="00537E84"/>
    <w:rsid w:val="00541364"/>
    <w:rsid w:val="005543E3"/>
    <w:rsid w:val="00554BC8"/>
    <w:rsid w:val="00555AE5"/>
    <w:rsid w:val="00555C8B"/>
    <w:rsid w:val="00564E8C"/>
    <w:rsid w:val="00580069"/>
    <w:rsid w:val="00582592"/>
    <w:rsid w:val="00585D48"/>
    <w:rsid w:val="00586589"/>
    <w:rsid w:val="00594061"/>
    <w:rsid w:val="005944E9"/>
    <w:rsid w:val="00597FB4"/>
    <w:rsid w:val="005C0224"/>
    <w:rsid w:val="005C251B"/>
    <w:rsid w:val="005D4896"/>
    <w:rsid w:val="005E7DEE"/>
    <w:rsid w:val="006002FD"/>
    <w:rsid w:val="00601F45"/>
    <w:rsid w:val="006059A8"/>
    <w:rsid w:val="00610F72"/>
    <w:rsid w:val="00614295"/>
    <w:rsid w:val="006206FD"/>
    <w:rsid w:val="006253A2"/>
    <w:rsid w:val="00626BA6"/>
    <w:rsid w:val="00630583"/>
    <w:rsid w:val="0063347F"/>
    <w:rsid w:val="006372C1"/>
    <w:rsid w:val="00650F9A"/>
    <w:rsid w:val="0066337F"/>
    <w:rsid w:val="006746EC"/>
    <w:rsid w:val="0068441E"/>
    <w:rsid w:val="00695B2E"/>
    <w:rsid w:val="006A2364"/>
    <w:rsid w:val="006B5209"/>
    <w:rsid w:val="006C2CDF"/>
    <w:rsid w:val="006C73C6"/>
    <w:rsid w:val="006D3B44"/>
    <w:rsid w:val="006D4E9E"/>
    <w:rsid w:val="006E1E86"/>
    <w:rsid w:val="006E650B"/>
    <w:rsid w:val="006F2283"/>
    <w:rsid w:val="006F253B"/>
    <w:rsid w:val="006F5E28"/>
    <w:rsid w:val="00710A1D"/>
    <w:rsid w:val="00710A94"/>
    <w:rsid w:val="007117B3"/>
    <w:rsid w:val="00712BB9"/>
    <w:rsid w:val="00712CB8"/>
    <w:rsid w:val="00713282"/>
    <w:rsid w:val="00713A15"/>
    <w:rsid w:val="00717E34"/>
    <w:rsid w:val="00720CB5"/>
    <w:rsid w:val="0072157F"/>
    <w:rsid w:val="00721662"/>
    <w:rsid w:val="00724BC9"/>
    <w:rsid w:val="00741810"/>
    <w:rsid w:val="0075623A"/>
    <w:rsid w:val="0077381F"/>
    <w:rsid w:val="00776FFD"/>
    <w:rsid w:val="0078368A"/>
    <w:rsid w:val="007838E8"/>
    <w:rsid w:val="007870D5"/>
    <w:rsid w:val="007A2D17"/>
    <w:rsid w:val="007A7A69"/>
    <w:rsid w:val="007B4D4E"/>
    <w:rsid w:val="007B4D53"/>
    <w:rsid w:val="007C2A60"/>
    <w:rsid w:val="007C7716"/>
    <w:rsid w:val="007C7772"/>
    <w:rsid w:val="007D0EE1"/>
    <w:rsid w:val="007E0B8D"/>
    <w:rsid w:val="007E1206"/>
    <w:rsid w:val="007E3141"/>
    <w:rsid w:val="007E4682"/>
    <w:rsid w:val="007F0B31"/>
    <w:rsid w:val="008075B5"/>
    <w:rsid w:val="008125CD"/>
    <w:rsid w:val="00815F8D"/>
    <w:rsid w:val="0082043A"/>
    <w:rsid w:val="0082235A"/>
    <w:rsid w:val="00830011"/>
    <w:rsid w:val="00833811"/>
    <w:rsid w:val="008365AD"/>
    <w:rsid w:val="00841EF7"/>
    <w:rsid w:val="00844A05"/>
    <w:rsid w:val="00844BBC"/>
    <w:rsid w:val="00852E86"/>
    <w:rsid w:val="0085779D"/>
    <w:rsid w:val="008629E5"/>
    <w:rsid w:val="00866343"/>
    <w:rsid w:val="008776DA"/>
    <w:rsid w:val="00877D06"/>
    <w:rsid w:val="00887EA3"/>
    <w:rsid w:val="00891306"/>
    <w:rsid w:val="00892611"/>
    <w:rsid w:val="008A4E7B"/>
    <w:rsid w:val="008A576B"/>
    <w:rsid w:val="008B2D90"/>
    <w:rsid w:val="008B6209"/>
    <w:rsid w:val="008E0636"/>
    <w:rsid w:val="008E19BD"/>
    <w:rsid w:val="008E6542"/>
    <w:rsid w:val="008F5F6B"/>
    <w:rsid w:val="008F625E"/>
    <w:rsid w:val="00906B81"/>
    <w:rsid w:val="0090773A"/>
    <w:rsid w:val="009102E1"/>
    <w:rsid w:val="00911D8E"/>
    <w:rsid w:val="00913C01"/>
    <w:rsid w:val="0092282F"/>
    <w:rsid w:val="009268BB"/>
    <w:rsid w:val="00932909"/>
    <w:rsid w:val="0094559B"/>
    <w:rsid w:val="00950A87"/>
    <w:rsid w:val="00970424"/>
    <w:rsid w:val="009729A5"/>
    <w:rsid w:val="00973ABB"/>
    <w:rsid w:val="00976831"/>
    <w:rsid w:val="00982FFE"/>
    <w:rsid w:val="009831D5"/>
    <w:rsid w:val="009847B9"/>
    <w:rsid w:val="00992C8F"/>
    <w:rsid w:val="00994054"/>
    <w:rsid w:val="00994FD9"/>
    <w:rsid w:val="00997A00"/>
    <w:rsid w:val="009A0149"/>
    <w:rsid w:val="009A0A7C"/>
    <w:rsid w:val="009A0B8E"/>
    <w:rsid w:val="009B5505"/>
    <w:rsid w:val="009D120A"/>
    <w:rsid w:val="009D6238"/>
    <w:rsid w:val="009D73DD"/>
    <w:rsid w:val="009F2A40"/>
    <w:rsid w:val="009F441A"/>
    <w:rsid w:val="00A00ADB"/>
    <w:rsid w:val="00A07ED8"/>
    <w:rsid w:val="00A15918"/>
    <w:rsid w:val="00A20B11"/>
    <w:rsid w:val="00A41378"/>
    <w:rsid w:val="00A57434"/>
    <w:rsid w:val="00A62F9D"/>
    <w:rsid w:val="00A85244"/>
    <w:rsid w:val="00A87832"/>
    <w:rsid w:val="00AA1380"/>
    <w:rsid w:val="00AB13AA"/>
    <w:rsid w:val="00AC2384"/>
    <w:rsid w:val="00AC3E8A"/>
    <w:rsid w:val="00AC634D"/>
    <w:rsid w:val="00AC65E3"/>
    <w:rsid w:val="00AD4F4F"/>
    <w:rsid w:val="00AD5396"/>
    <w:rsid w:val="00AE32E2"/>
    <w:rsid w:val="00AE4B1E"/>
    <w:rsid w:val="00AF291A"/>
    <w:rsid w:val="00AF5BEB"/>
    <w:rsid w:val="00AF6796"/>
    <w:rsid w:val="00B000A4"/>
    <w:rsid w:val="00B04C2F"/>
    <w:rsid w:val="00B107FE"/>
    <w:rsid w:val="00B123A6"/>
    <w:rsid w:val="00B14374"/>
    <w:rsid w:val="00B1738D"/>
    <w:rsid w:val="00B25B7A"/>
    <w:rsid w:val="00B31928"/>
    <w:rsid w:val="00B4136D"/>
    <w:rsid w:val="00B41B42"/>
    <w:rsid w:val="00B44898"/>
    <w:rsid w:val="00B46185"/>
    <w:rsid w:val="00B629F0"/>
    <w:rsid w:val="00B70D92"/>
    <w:rsid w:val="00B74EDC"/>
    <w:rsid w:val="00B86846"/>
    <w:rsid w:val="00B877C4"/>
    <w:rsid w:val="00B95CBE"/>
    <w:rsid w:val="00B96B4B"/>
    <w:rsid w:val="00BA04CD"/>
    <w:rsid w:val="00BA061F"/>
    <w:rsid w:val="00BA787C"/>
    <w:rsid w:val="00BB0C42"/>
    <w:rsid w:val="00BC226F"/>
    <w:rsid w:val="00BC2E28"/>
    <w:rsid w:val="00BD57C7"/>
    <w:rsid w:val="00BE1F56"/>
    <w:rsid w:val="00BE7E27"/>
    <w:rsid w:val="00BF2014"/>
    <w:rsid w:val="00BF4073"/>
    <w:rsid w:val="00C02552"/>
    <w:rsid w:val="00C12AF9"/>
    <w:rsid w:val="00C14C6E"/>
    <w:rsid w:val="00C16CA9"/>
    <w:rsid w:val="00C20EA4"/>
    <w:rsid w:val="00C210FF"/>
    <w:rsid w:val="00C2201A"/>
    <w:rsid w:val="00C23D10"/>
    <w:rsid w:val="00C2580F"/>
    <w:rsid w:val="00C40BC5"/>
    <w:rsid w:val="00C4499B"/>
    <w:rsid w:val="00C44A6E"/>
    <w:rsid w:val="00C54A38"/>
    <w:rsid w:val="00C56B0B"/>
    <w:rsid w:val="00C67DC4"/>
    <w:rsid w:val="00C73312"/>
    <w:rsid w:val="00C74B05"/>
    <w:rsid w:val="00C850FC"/>
    <w:rsid w:val="00C9046C"/>
    <w:rsid w:val="00C94614"/>
    <w:rsid w:val="00CA782E"/>
    <w:rsid w:val="00CB075D"/>
    <w:rsid w:val="00CB0A9D"/>
    <w:rsid w:val="00CB7456"/>
    <w:rsid w:val="00CC3166"/>
    <w:rsid w:val="00CC4222"/>
    <w:rsid w:val="00CC631C"/>
    <w:rsid w:val="00CD1489"/>
    <w:rsid w:val="00CE10A9"/>
    <w:rsid w:val="00CE14B5"/>
    <w:rsid w:val="00CE24F5"/>
    <w:rsid w:val="00CE5942"/>
    <w:rsid w:val="00CE7E2D"/>
    <w:rsid w:val="00CF14F0"/>
    <w:rsid w:val="00CF47DA"/>
    <w:rsid w:val="00CF782C"/>
    <w:rsid w:val="00D306B8"/>
    <w:rsid w:val="00D32596"/>
    <w:rsid w:val="00D35141"/>
    <w:rsid w:val="00D37450"/>
    <w:rsid w:val="00D40B84"/>
    <w:rsid w:val="00D5555E"/>
    <w:rsid w:val="00D63A8C"/>
    <w:rsid w:val="00D71A8A"/>
    <w:rsid w:val="00D72C6D"/>
    <w:rsid w:val="00D73ABD"/>
    <w:rsid w:val="00D76873"/>
    <w:rsid w:val="00D76C6F"/>
    <w:rsid w:val="00D7789E"/>
    <w:rsid w:val="00D82F75"/>
    <w:rsid w:val="00D84DDC"/>
    <w:rsid w:val="00D9547E"/>
    <w:rsid w:val="00DA4073"/>
    <w:rsid w:val="00DB428C"/>
    <w:rsid w:val="00DC426B"/>
    <w:rsid w:val="00DC5929"/>
    <w:rsid w:val="00DD2531"/>
    <w:rsid w:val="00DD5165"/>
    <w:rsid w:val="00DE0049"/>
    <w:rsid w:val="00DE0539"/>
    <w:rsid w:val="00DE434D"/>
    <w:rsid w:val="00DE5627"/>
    <w:rsid w:val="00DF302C"/>
    <w:rsid w:val="00E00576"/>
    <w:rsid w:val="00E04F3F"/>
    <w:rsid w:val="00E1250F"/>
    <w:rsid w:val="00E13F7E"/>
    <w:rsid w:val="00E239FA"/>
    <w:rsid w:val="00E35F60"/>
    <w:rsid w:val="00E361EF"/>
    <w:rsid w:val="00E41159"/>
    <w:rsid w:val="00E43385"/>
    <w:rsid w:val="00E45250"/>
    <w:rsid w:val="00E4789A"/>
    <w:rsid w:val="00E47E53"/>
    <w:rsid w:val="00E506DB"/>
    <w:rsid w:val="00E52FCE"/>
    <w:rsid w:val="00E53675"/>
    <w:rsid w:val="00E67DCE"/>
    <w:rsid w:val="00E74621"/>
    <w:rsid w:val="00E760AE"/>
    <w:rsid w:val="00E770CC"/>
    <w:rsid w:val="00E77566"/>
    <w:rsid w:val="00E87CC5"/>
    <w:rsid w:val="00E96D9F"/>
    <w:rsid w:val="00EA5319"/>
    <w:rsid w:val="00EA7D4A"/>
    <w:rsid w:val="00EB581A"/>
    <w:rsid w:val="00EC3A40"/>
    <w:rsid w:val="00EC7430"/>
    <w:rsid w:val="00ED08EE"/>
    <w:rsid w:val="00ED56D7"/>
    <w:rsid w:val="00ED7F6F"/>
    <w:rsid w:val="00EE29CB"/>
    <w:rsid w:val="00EE65E7"/>
    <w:rsid w:val="00EE7ABB"/>
    <w:rsid w:val="00EF5218"/>
    <w:rsid w:val="00F13E32"/>
    <w:rsid w:val="00F1437E"/>
    <w:rsid w:val="00F21269"/>
    <w:rsid w:val="00F22FEA"/>
    <w:rsid w:val="00F250C5"/>
    <w:rsid w:val="00F25BF0"/>
    <w:rsid w:val="00F53C7C"/>
    <w:rsid w:val="00F70A75"/>
    <w:rsid w:val="00F72F18"/>
    <w:rsid w:val="00F77390"/>
    <w:rsid w:val="00F859AC"/>
    <w:rsid w:val="00F9231A"/>
    <w:rsid w:val="00F94145"/>
    <w:rsid w:val="00F94EE2"/>
    <w:rsid w:val="00FB1FA9"/>
    <w:rsid w:val="00FB7A3B"/>
    <w:rsid w:val="00FD3A14"/>
    <w:rsid w:val="00FE3BBB"/>
    <w:rsid w:val="00FE55FE"/>
    <w:rsid w:val="00FF0701"/>
    <w:rsid w:val="00FF23CC"/>
    <w:rsid w:val="00FF2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5218"/>
    <w:pPr>
      <w:widowControl w:val="0"/>
      <w:autoSpaceDE w:val="0"/>
      <w:autoSpaceDN w:val="0"/>
      <w:adjustRightInd w:val="0"/>
      <w:ind w:firstLine="720"/>
    </w:pPr>
    <w:rPr>
      <w:rFonts w:ascii="Arial" w:eastAsia="Times New Roman" w:hAnsi="Arial" w:cs="Arial"/>
      <w:szCs w:val="24"/>
    </w:rPr>
  </w:style>
  <w:style w:type="paragraph" w:styleId="Antrat1">
    <w:name w:val="heading 1"/>
    <w:basedOn w:val="prastasis"/>
    <w:next w:val="prastasis"/>
    <w:link w:val="Antrat1Diagrama"/>
    <w:uiPriority w:val="99"/>
    <w:qFormat/>
    <w:rsid w:val="00EF5218"/>
    <w:pPr>
      <w:keepNext/>
      <w:widowControl/>
      <w:numPr>
        <w:numId w:val="2"/>
      </w:numPr>
      <w:autoSpaceDE/>
      <w:autoSpaceDN/>
      <w:adjustRightInd/>
      <w:spacing w:before="240" w:after="240"/>
      <w:ind w:firstLine="0"/>
      <w:jc w:val="center"/>
      <w:outlineLvl w:val="0"/>
    </w:pPr>
    <w:rPr>
      <w:rFonts w:ascii="Times New Roman" w:hAnsi="Times New Roman" w:cs="Times New Roman"/>
      <w:caps/>
      <w:kern w:val="32"/>
      <w:sz w:val="24"/>
      <w:szCs w:val="20"/>
      <w:lang w:eastAsia="en-US"/>
    </w:rPr>
  </w:style>
  <w:style w:type="paragraph" w:styleId="Antrat2">
    <w:name w:val="heading 2"/>
    <w:basedOn w:val="prastasis"/>
    <w:next w:val="Antrat3"/>
    <w:link w:val="Antrat2Diagrama"/>
    <w:uiPriority w:val="99"/>
    <w:qFormat/>
    <w:rsid w:val="00EF5218"/>
    <w:pPr>
      <w:widowControl/>
      <w:numPr>
        <w:ilvl w:val="1"/>
        <w:numId w:val="2"/>
      </w:numPr>
      <w:autoSpaceDE/>
      <w:autoSpaceDN/>
      <w:adjustRightInd/>
      <w:spacing w:before="240"/>
      <w:jc w:val="both"/>
      <w:outlineLvl w:val="1"/>
    </w:pPr>
    <w:rPr>
      <w:rFonts w:ascii="Times New Roman" w:hAnsi="Times New Roman" w:cs="Times New Roman"/>
      <w:b/>
      <w:sz w:val="24"/>
      <w:szCs w:val="20"/>
      <w:lang w:eastAsia="en-US"/>
    </w:rPr>
  </w:style>
  <w:style w:type="paragraph" w:styleId="Antrat3">
    <w:name w:val="heading 3"/>
    <w:basedOn w:val="prastasis"/>
    <w:link w:val="Antrat3Diagrama"/>
    <w:uiPriority w:val="99"/>
    <w:qFormat/>
    <w:rsid w:val="00EF5218"/>
    <w:pPr>
      <w:widowControl/>
      <w:numPr>
        <w:ilvl w:val="2"/>
        <w:numId w:val="2"/>
      </w:numPr>
      <w:autoSpaceDE/>
      <w:autoSpaceDN/>
      <w:adjustRightInd/>
      <w:spacing w:before="50"/>
      <w:jc w:val="both"/>
      <w:outlineLvl w:val="2"/>
    </w:pPr>
    <w:rPr>
      <w:rFonts w:ascii="Times New Roman" w:hAnsi="Times New Roman" w:cs="Times New Roman"/>
      <w:sz w:val="24"/>
      <w:szCs w:val="20"/>
      <w:lang w:eastAsia="en-US"/>
    </w:rPr>
  </w:style>
  <w:style w:type="paragraph" w:styleId="Antrat4">
    <w:name w:val="heading 4"/>
    <w:aliases w:val="Heading 4 Char Char Char Char"/>
    <w:basedOn w:val="prastasis"/>
    <w:link w:val="Antrat4Diagrama"/>
    <w:uiPriority w:val="99"/>
    <w:qFormat/>
    <w:rsid w:val="00EF5218"/>
    <w:pPr>
      <w:widowControl/>
      <w:numPr>
        <w:ilvl w:val="3"/>
        <w:numId w:val="2"/>
      </w:numPr>
      <w:autoSpaceDE/>
      <w:autoSpaceDN/>
      <w:adjustRightInd/>
      <w:jc w:val="both"/>
      <w:outlineLvl w:val="3"/>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F5218"/>
    <w:rPr>
      <w:rFonts w:ascii="Times New Roman" w:hAnsi="Times New Roman" w:cs="Times New Roman"/>
      <w:caps/>
      <w:kern w:val="32"/>
      <w:sz w:val="20"/>
      <w:szCs w:val="20"/>
    </w:rPr>
  </w:style>
  <w:style w:type="character" w:customStyle="1" w:styleId="Antrat2Diagrama">
    <w:name w:val="Antraštė 2 Diagrama"/>
    <w:link w:val="Antrat2"/>
    <w:uiPriority w:val="99"/>
    <w:locked/>
    <w:rsid w:val="00EF5218"/>
    <w:rPr>
      <w:rFonts w:ascii="Times New Roman" w:hAnsi="Times New Roman" w:cs="Times New Roman"/>
      <w:b/>
      <w:sz w:val="20"/>
      <w:szCs w:val="20"/>
    </w:rPr>
  </w:style>
  <w:style w:type="character" w:customStyle="1" w:styleId="Antrat3Diagrama">
    <w:name w:val="Antraštė 3 Diagrama"/>
    <w:link w:val="Antrat3"/>
    <w:uiPriority w:val="99"/>
    <w:locked/>
    <w:rsid w:val="00EF5218"/>
    <w:rPr>
      <w:rFonts w:ascii="Times New Roman" w:hAnsi="Times New Roman" w:cs="Times New Roman"/>
      <w:sz w:val="20"/>
      <w:szCs w:val="20"/>
    </w:rPr>
  </w:style>
  <w:style w:type="character" w:customStyle="1" w:styleId="Antrat4Diagrama">
    <w:name w:val="Antraštė 4 Diagrama"/>
    <w:aliases w:val="Heading 4 Char Char Char Char Diagrama"/>
    <w:link w:val="Antrat4"/>
    <w:uiPriority w:val="99"/>
    <w:locked/>
    <w:rsid w:val="00EF5218"/>
    <w:rPr>
      <w:rFonts w:ascii="Times New Roman" w:hAnsi="Times New Roman" w:cs="Times New Roman"/>
      <w:sz w:val="20"/>
      <w:szCs w:val="20"/>
    </w:rPr>
  </w:style>
  <w:style w:type="paragraph" w:styleId="Antrats">
    <w:name w:val="header"/>
    <w:basedOn w:val="prastasis"/>
    <w:link w:val="AntratsDiagrama"/>
    <w:uiPriority w:val="99"/>
    <w:rsid w:val="00EF5218"/>
    <w:pPr>
      <w:tabs>
        <w:tab w:val="center" w:pos="4819"/>
        <w:tab w:val="right" w:pos="9638"/>
      </w:tabs>
    </w:pPr>
  </w:style>
  <w:style w:type="character" w:customStyle="1" w:styleId="AntratsDiagrama">
    <w:name w:val="Antraštės Diagrama"/>
    <w:link w:val="Antrats"/>
    <w:uiPriority w:val="99"/>
    <w:locked/>
    <w:rsid w:val="00EF5218"/>
    <w:rPr>
      <w:rFonts w:ascii="Arial" w:hAnsi="Arial" w:cs="Arial"/>
      <w:sz w:val="24"/>
      <w:szCs w:val="24"/>
      <w:lang w:eastAsia="lt-LT"/>
    </w:rPr>
  </w:style>
  <w:style w:type="character" w:styleId="Puslapionumeris">
    <w:name w:val="page number"/>
    <w:uiPriority w:val="99"/>
    <w:rsid w:val="00EF5218"/>
    <w:rPr>
      <w:rFonts w:cs="Times New Roman"/>
    </w:rPr>
  </w:style>
  <w:style w:type="paragraph" w:customStyle="1" w:styleId="centrbold">
    <w:name w:val="centrbold"/>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numpar1">
    <w:name w:val="numpar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Pagrindinistekstas1">
    <w:name w:val="Pagrindinis tekstas1"/>
    <w:uiPriority w:val="99"/>
    <w:rsid w:val="00EF5218"/>
    <w:pPr>
      <w:autoSpaceDE w:val="0"/>
      <w:autoSpaceDN w:val="0"/>
      <w:adjustRightInd w:val="0"/>
      <w:ind w:firstLine="312"/>
      <w:jc w:val="both"/>
    </w:pPr>
    <w:rPr>
      <w:rFonts w:ascii="TimesLT" w:eastAsia="Times New Roman" w:hAnsi="TimesLT"/>
      <w:lang w:val="en-US" w:eastAsia="en-US"/>
    </w:rPr>
  </w:style>
  <w:style w:type="paragraph" w:customStyle="1" w:styleId="Hipersaitas1">
    <w:name w:val="Hipersaitas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12">
    <w:name w:val="+12"/>
    <w:basedOn w:val="prastasis"/>
    <w:link w:val="12Diagrama"/>
    <w:uiPriority w:val="99"/>
    <w:rsid w:val="00EF5218"/>
    <w:pPr>
      <w:widowControl/>
      <w:autoSpaceDE/>
      <w:autoSpaceDN/>
      <w:adjustRightInd/>
      <w:ind w:firstLine="0"/>
    </w:pPr>
    <w:rPr>
      <w:rFonts w:ascii="Times New Roman" w:hAnsi="Times New Roman" w:cs="Times New Roman"/>
      <w:sz w:val="24"/>
      <w:lang w:val="sv-SE"/>
    </w:rPr>
  </w:style>
  <w:style w:type="character" w:customStyle="1" w:styleId="12Diagrama">
    <w:name w:val="+12 Diagrama"/>
    <w:link w:val="12"/>
    <w:uiPriority w:val="99"/>
    <w:locked/>
    <w:rsid w:val="00EF5218"/>
    <w:rPr>
      <w:rFonts w:ascii="Times New Roman" w:hAnsi="Times New Roman" w:cs="Times New Roman"/>
      <w:sz w:val="24"/>
      <w:szCs w:val="24"/>
      <w:lang w:val="sv-SE" w:eastAsia="lt-LT"/>
    </w:rPr>
  </w:style>
  <w:style w:type="paragraph" w:styleId="HTMLiankstoformatuotas">
    <w:name w:val="HTML Preformatted"/>
    <w:basedOn w:val="prastasis"/>
    <w:link w:val="HTMLiankstoformatuotasDiagrama"/>
    <w:uiPriority w:val="99"/>
    <w:rsid w:val="00EF5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Calibri" w:hAnsi="Courier New" w:cs="Times New Roman"/>
      <w:szCs w:val="20"/>
      <w:lang w:val="en-GB" w:eastAsia="en-US"/>
    </w:rPr>
  </w:style>
  <w:style w:type="character" w:customStyle="1" w:styleId="HTMLiankstoformatuotasDiagrama">
    <w:name w:val="HTML iš anksto formatuotas Diagrama"/>
    <w:link w:val="HTMLiankstoformatuotas"/>
    <w:uiPriority w:val="99"/>
    <w:locked/>
    <w:rsid w:val="00EF5218"/>
    <w:rPr>
      <w:rFonts w:ascii="Courier New" w:hAnsi="Courier New" w:cs="Times New Roman"/>
      <w:sz w:val="20"/>
      <w:szCs w:val="20"/>
      <w:lang w:val="en-GB"/>
    </w:rPr>
  </w:style>
  <w:style w:type="character" w:styleId="Hipersaitas">
    <w:name w:val="Hyperlink"/>
    <w:uiPriority w:val="99"/>
    <w:rsid w:val="00CE14B5"/>
    <w:rPr>
      <w:rFonts w:cs="Times New Roman"/>
      <w:color w:val="0000FF"/>
      <w:u w:val="single"/>
    </w:rPr>
  </w:style>
  <w:style w:type="paragraph" w:customStyle="1" w:styleId="Hyperlink1">
    <w:name w:val="Hyperlink1"/>
    <w:basedOn w:val="prastasis"/>
    <w:rsid w:val="00277E88"/>
    <w:pPr>
      <w:widowControl/>
      <w:suppressAutoHyphens/>
      <w:spacing w:line="298" w:lineRule="auto"/>
      <w:ind w:firstLine="312"/>
      <w:jc w:val="both"/>
      <w:textAlignment w:val="center"/>
    </w:pPr>
    <w:rPr>
      <w:rFonts w:ascii="Times New Roman" w:eastAsia="Calibri" w:hAnsi="Times New Roman" w:cs="Times New Roman"/>
      <w:color w:val="000000"/>
      <w:szCs w:val="20"/>
      <w:lang w:val="en-US" w:eastAsia="en-US"/>
    </w:rPr>
  </w:style>
  <w:style w:type="paragraph" w:customStyle="1" w:styleId="tajtip">
    <w:name w:val="tajtip"/>
    <w:basedOn w:val="prastasis"/>
    <w:rsid w:val="00724BC9"/>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054B56"/>
    <w:pPr>
      <w:ind w:left="720"/>
      <w:contextualSpacing/>
    </w:pPr>
  </w:style>
  <w:style w:type="paragraph" w:styleId="Porat">
    <w:name w:val="footer"/>
    <w:basedOn w:val="prastasis"/>
    <w:link w:val="PoratDiagrama"/>
    <w:uiPriority w:val="99"/>
    <w:unhideWhenUsed/>
    <w:rsid w:val="00713282"/>
    <w:pPr>
      <w:tabs>
        <w:tab w:val="center" w:pos="4819"/>
        <w:tab w:val="right" w:pos="9638"/>
      </w:tabs>
    </w:pPr>
  </w:style>
  <w:style w:type="character" w:customStyle="1" w:styleId="PoratDiagrama">
    <w:name w:val="Poraštė Diagrama"/>
    <w:basedOn w:val="Numatytasispastraiposriftas"/>
    <w:link w:val="Porat"/>
    <w:uiPriority w:val="99"/>
    <w:rsid w:val="00713282"/>
    <w:rPr>
      <w:rFonts w:ascii="Arial" w:eastAsia="Times New Roman" w:hAnsi="Arial" w:cs="Arial"/>
      <w:szCs w:val="24"/>
    </w:rPr>
  </w:style>
  <w:style w:type="paragraph" w:styleId="Betarp">
    <w:name w:val="No Spacing"/>
    <w:uiPriority w:val="1"/>
    <w:qFormat/>
    <w:rsid w:val="00741810"/>
    <w:pPr>
      <w:widowControl w:val="0"/>
      <w:autoSpaceDE w:val="0"/>
      <w:autoSpaceDN w:val="0"/>
      <w:adjustRightInd w:val="0"/>
      <w:ind w:firstLine="720"/>
    </w:pPr>
    <w:rPr>
      <w:rFonts w:ascii="Arial" w:eastAsia="Times New Roman" w:hAnsi="Arial" w:cs="Arial"/>
      <w:szCs w:val="24"/>
    </w:rPr>
  </w:style>
  <w:style w:type="paragraph" w:styleId="Debesliotekstas">
    <w:name w:val="Balloon Text"/>
    <w:basedOn w:val="prastasis"/>
    <w:link w:val="DebesliotekstasDiagrama"/>
    <w:uiPriority w:val="99"/>
    <w:semiHidden/>
    <w:unhideWhenUsed/>
    <w:rsid w:val="00C20E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0E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5218"/>
    <w:pPr>
      <w:widowControl w:val="0"/>
      <w:autoSpaceDE w:val="0"/>
      <w:autoSpaceDN w:val="0"/>
      <w:adjustRightInd w:val="0"/>
      <w:ind w:firstLine="720"/>
    </w:pPr>
    <w:rPr>
      <w:rFonts w:ascii="Arial" w:eastAsia="Times New Roman" w:hAnsi="Arial" w:cs="Arial"/>
      <w:szCs w:val="24"/>
    </w:rPr>
  </w:style>
  <w:style w:type="paragraph" w:styleId="Antrat1">
    <w:name w:val="heading 1"/>
    <w:basedOn w:val="prastasis"/>
    <w:next w:val="prastasis"/>
    <w:link w:val="Antrat1Diagrama"/>
    <w:uiPriority w:val="99"/>
    <w:qFormat/>
    <w:rsid w:val="00EF5218"/>
    <w:pPr>
      <w:keepNext/>
      <w:widowControl/>
      <w:numPr>
        <w:numId w:val="2"/>
      </w:numPr>
      <w:autoSpaceDE/>
      <w:autoSpaceDN/>
      <w:adjustRightInd/>
      <w:spacing w:before="240" w:after="240"/>
      <w:ind w:firstLine="0"/>
      <w:jc w:val="center"/>
      <w:outlineLvl w:val="0"/>
    </w:pPr>
    <w:rPr>
      <w:rFonts w:ascii="Times New Roman" w:hAnsi="Times New Roman" w:cs="Times New Roman"/>
      <w:caps/>
      <w:kern w:val="32"/>
      <w:sz w:val="24"/>
      <w:szCs w:val="20"/>
      <w:lang w:eastAsia="en-US"/>
    </w:rPr>
  </w:style>
  <w:style w:type="paragraph" w:styleId="Antrat2">
    <w:name w:val="heading 2"/>
    <w:basedOn w:val="prastasis"/>
    <w:next w:val="Antrat3"/>
    <w:link w:val="Antrat2Diagrama"/>
    <w:uiPriority w:val="99"/>
    <w:qFormat/>
    <w:rsid w:val="00EF5218"/>
    <w:pPr>
      <w:widowControl/>
      <w:numPr>
        <w:ilvl w:val="1"/>
        <w:numId w:val="2"/>
      </w:numPr>
      <w:autoSpaceDE/>
      <w:autoSpaceDN/>
      <w:adjustRightInd/>
      <w:spacing w:before="240"/>
      <w:jc w:val="both"/>
      <w:outlineLvl w:val="1"/>
    </w:pPr>
    <w:rPr>
      <w:rFonts w:ascii="Times New Roman" w:hAnsi="Times New Roman" w:cs="Times New Roman"/>
      <w:b/>
      <w:sz w:val="24"/>
      <w:szCs w:val="20"/>
      <w:lang w:eastAsia="en-US"/>
    </w:rPr>
  </w:style>
  <w:style w:type="paragraph" w:styleId="Antrat3">
    <w:name w:val="heading 3"/>
    <w:basedOn w:val="prastasis"/>
    <w:link w:val="Antrat3Diagrama"/>
    <w:uiPriority w:val="99"/>
    <w:qFormat/>
    <w:rsid w:val="00EF5218"/>
    <w:pPr>
      <w:widowControl/>
      <w:numPr>
        <w:ilvl w:val="2"/>
        <w:numId w:val="2"/>
      </w:numPr>
      <w:autoSpaceDE/>
      <w:autoSpaceDN/>
      <w:adjustRightInd/>
      <w:spacing w:before="50"/>
      <w:jc w:val="both"/>
      <w:outlineLvl w:val="2"/>
    </w:pPr>
    <w:rPr>
      <w:rFonts w:ascii="Times New Roman" w:hAnsi="Times New Roman" w:cs="Times New Roman"/>
      <w:sz w:val="24"/>
      <w:szCs w:val="20"/>
      <w:lang w:eastAsia="en-US"/>
    </w:rPr>
  </w:style>
  <w:style w:type="paragraph" w:styleId="Antrat4">
    <w:name w:val="heading 4"/>
    <w:aliases w:val="Heading 4 Char Char Char Char"/>
    <w:basedOn w:val="prastasis"/>
    <w:link w:val="Antrat4Diagrama"/>
    <w:uiPriority w:val="99"/>
    <w:qFormat/>
    <w:rsid w:val="00EF5218"/>
    <w:pPr>
      <w:widowControl/>
      <w:numPr>
        <w:ilvl w:val="3"/>
        <w:numId w:val="2"/>
      </w:numPr>
      <w:autoSpaceDE/>
      <w:autoSpaceDN/>
      <w:adjustRightInd/>
      <w:jc w:val="both"/>
      <w:outlineLvl w:val="3"/>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F5218"/>
    <w:rPr>
      <w:rFonts w:ascii="Times New Roman" w:hAnsi="Times New Roman" w:cs="Times New Roman"/>
      <w:caps/>
      <w:kern w:val="32"/>
      <w:sz w:val="20"/>
      <w:szCs w:val="20"/>
    </w:rPr>
  </w:style>
  <w:style w:type="character" w:customStyle="1" w:styleId="Antrat2Diagrama">
    <w:name w:val="Antraštė 2 Diagrama"/>
    <w:link w:val="Antrat2"/>
    <w:uiPriority w:val="99"/>
    <w:locked/>
    <w:rsid w:val="00EF5218"/>
    <w:rPr>
      <w:rFonts w:ascii="Times New Roman" w:hAnsi="Times New Roman" w:cs="Times New Roman"/>
      <w:b/>
      <w:sz w:val="20"/>
      <w:szCs w:val="20"/>
    </w:rPr>
  </w:style>
  <w:style w:type="character" w:customStyle="1" w:styleId="Antrat3Diagrama">
    <w:name w:val="Antraštė 3 Diagrama"/>
    <w:link w:val="Antrat3"/>
    <w:uiPriority w:val="99"/>
    <w:locked/>
    <w:rsid w:val="00EF5218"/>
    <w:rPr>
      <w:rFonts w:ascii="Times New Roman" w:hAnsi="Times New Roman" w:cs="Times New Roman"/>
      <w:sz w:val="20"/>
      <w:szCs w:val="20"/>
    </w:rPr>
  </w:style>
  <w:style w:type="character" w:customStyle="1" w:styleId="Antrat4Diagrama">
    <w:name w:val="Antraštė 4 Diagrama"/>
    <w:aliases w:val="Heading 4 Char Char Char Char Diagrama"/>
    <w:link w:val="Antrat4"/>
    <w:uiPriority w:val="99"/>
    <w:locked/>
    <w:rsid w:val="00EF5218"/>
    <w:rPr>
      <w:rFonts w:ascii="Times New Roman" w:hAnsi="Times New Roman" w:cs="Times New Roman"/>
      <w:sz w:val="20"/>
      <w:szCs w:val="20"/>
    </w:rPr>
  </w:style>
  <w:style w:type="paragraph" w:styleId="Antrats">
    <w:name w:val="header"/>
    <w:basedOn w:val="prastasis"/>
    <w:link w:val="AntratsDiagrama"/>
    <w:uiPriority w:val="99"/>
    <w:rsid w:val="00EF5218"/>
    <w:pPr>
      <w:tabs>
        <w:tab w:val="center" w:pos="4819"/>
        <w:tab w:val="right" w:pos="9638"/>
      </w:tabs>
    </w:pPr>
  </w:style>
  <w:style w:type="character" w:customStyle="1" w:styleId="AntratsDiagrama">
    <w:name w:val="Antraštės Diagrama"/>
    <w:link w:val="Antrats"/>
    <w:uiPriority w:val="99"/>
    <w:locked/>
    <w:rsid w:val="00EF5218"/>
    <w:rPr>
      <w:rFonts w:ascii="Arial" w:hAnsi="Arial" w:cs="Arial"/>
      <w:sz w:val="24"/>
      <w:szCs w:val="24"/>
      <w:lang w:eastAsia="lt-LT"/>
    </w:rPr>
  </w:style>
  <w:style w:type="character" w:styleId="Puslapionumeris">
    <w:name w:val="page number"/>
    <w:uiPriority w:val="99"/>
    <w:rsid w:val="00EF5218"/>
    <w:rPr>
      <w:rFonts w:cs="Times New Roman"/>
    </w:rPr>
  </w:style>
  <w:style w:type="paragraph" w:customStyle="1" w:styleId="centrbold">
    <w:name w:val="centrbold"/>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numpar1">
    <w:name w:val="numpar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Pagrindinistekstas1">
    <w:name w:val="Pagrindinis tekstas1"/>
    <w:uiPriority w:val="99"/>
    <w:rsid w:val="00EF5218"/>
    <w:pPr>
      <w:autoSpaceDE w:val="0"/>
      <w:autoSpaceDN w:val="0"/>
      <w:adjustRightInd w:val="0"/>
      <w:ind w:firstLine="312"/>
      <w:jc w:val="both"/>
    </w:pPr>
    <w:rPr>
      <w:rFonts w:ascii="TimesLT" w:eastAsia="Times New Roman" w:hAnsi="TimesLT"/>
      <w:lang w:val="en-US" w:eastAsia="en-US"/>
    </w:rPr>
  </w:style>
  <w:style w:type="paragraph" w:customStyle="1" w:styleId="Hipersaitas1">
    <w:name w:val="Hipersaitas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12">
    <w:name w:val="+12"/>
    <w:basedOn w:val="prastasis"/>
    <w:link w:val="12Diagrama"/>
    <w:uiPriority w:val="99"/>
    <w:rsid w:val="00EF5218"/>
    <w:pPr>
      <w:widowControl/>
      <w:autoSpaceDE/>
      <w:autoSpaceDN/>
      <w:adjustRightInd/>
      <w:ind w:firstLine="0"/>
    </w:pPr>
    <w:rPr>
      <w:rFonts w:ascii="Times New Roman" w:hAnsi="Times New Roman" w:cs="Times New Roman"/>
      <w:sz w:val="24"/>
      <w:lang w:val="sv-SE"/>
    </w:rPr>
  </w:style>
  <w:style w:type="character" w:customStyle="1" w:styleId="12Diagrama">
    <w:name w:val="+12 Diagrama"/>
    <w:link w:val="12"/>
    <w:uiPriority w:val="99"/>
    <w:locked/>
    <w:rsid w:val="00EF5218"/>
    <w:rPr>
      <w:rFonts w:ascii="Times New Roman" w:hAnsi="Times New Roman" w:cs="Times New Roman"/>
      <w:sz w:val="24"/>
      <w:szCs w:val="24"/>
      <w:lang w:val="sv-SE" w:eastAsia="lt-LT"/>
    </w:rPr>
  </w:style>
  <w:style w:type="paragraph" w:styleId="HTMLiankstoformatuotas">
    <w:name w:val="HTML Preformatted"/>
    <w:basedOn w:val="prastasis"/>
    <w:link w:val="HTMLiankstoformatuotasDiagrama"/>
    <w:uiPriority w:val="99"/>
    <w:rsid w:val="00EF5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Calibri" w:hAnsi="Courier New" w:cs="Times New Roman"/>
      <w:szCs w:val="20"/>
      <w:lang w:val="en-GB" w:eastAsia="en-US"/>
    </w:rPr>
  </w:style>
  <w:style w:type="character" w:customStyle="1" w:styleId="HTMLiankstoformatuotasDiagrama">
    <w:name w:val="HTML iš anksto formatuotas Diagrama"/>
    <w:link w:val="HTMLiankstoformatuotas"/>
    <w:uiPriority w:val="99"/>
    <w:locked/>
    <w:rsid w:val="00EF5218"/>
    <w:rPr>
      <w:rFonts w:ascii="Courier New" w:hAnsi="Courier New" w:cs="Times New Roman"/>
      <w:sz w:val="20"/>
      <w:szCs w:val="20"/>
      <w:lang w:val="en-GB"/>
    </w:rPr>
  </w:style>
  <w:style w:type="character" w:styleId="Hipersaitas">
    <w:name w:val="Hyperlink"/>
    <w:uiPriority w:val="99"/>
    <w:rsid w:val="00CE14B5"/>
    <w:rPr>
      <w:rFonts w:cs="Times New Roman"/>
      <w:color w:val="0000FF"/>
      <w:u w:val="single"/>
    </w:rPr>
  </w:style>
  <w:style w:type="paragraph" w:customStyle="1" w:styleId="Hyperlink1">
    <w:name w:val="Hyperlink1"/>
    <w:basedOn w:val="prastasis"/>
    <w:rsid w:val="00277E88"/>
    <w:pPr>
      <w:widowControl/>
      <w:suppressAutoHyphens/>
      <w:spacing w:line="298" w:lineRule="auto"/>
      <w:ind w:firstLine="312"/>
      <w:jc w:val="both"/>
      <w:textAlignment w:val="center"/>
    </w:pPr>
    <w:rPr>
      <w:rFonts w:ascii="Times New Roman" w:eastAsia="Calibri" w:hAnsi="Times New Roman" w:cs="Times New Roman"/>
      <w:color w:val="000000"/>
      <w:szCs w:val="20"/>
      <w:lang w:val="en-US" w:eastAsia="en-US"/>
    </w:rPr>
  </w:style>
  <w:style w:type="paragraph" w:customStyle="1" w:styleId="tajtip">
    <w:name w:val="tajtip"/>
    <w:basedOn w:val="prastasis"/>
    <w:rsid w:val="00724BC9"/>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054B56"/>
    <w:pPr>
      <w:ind w:left="720"/>
      <w:contextualSpacing/>
    </w:pPr>
  </w:style>
  <w:style w:type="paragraph" w:styleId="Porat">
    <w:name w:val="footer"/>
    <w:basedOn w:val="prastasis"/>
    <w:link w:val="PoratDiagrama"/>
    <w:uiPriority w:val="99"/>
    <w:unhideWhenUsed/>
    <w:rsid w:val="00713282"/>
    <w:pPr>
      <w:tabs>
        <w:tab w:val="center" w:pos="4819"/>
        <w:tab w:val="right" w:pos="9638"/>
      </w:tabs>
    </w:pPr>
  </w:style>
  <w:style w:type="character" w:customStyle="1" w:styleId="PoratDiagrama">
    <w:name w:val="Poraštė Diagrama"/>
    <w:basedOn w:val="Numatytasispastraiposriftas"/>
    <w:link w:val="Porat"/>
    <w:uiPriority w:val="99"/>
    <w:rsid w:val="00713282"/>
    <w:rPr>
      <w:rFonts w:ascii="Arial" w:eastAsia="Times New Roman" w:hAnsi="Arial" w:cs="Arial"/>
      <w:szCs w:val="24"/>
    </w:rPr>
  </w:style>
  <w:style w:type="paragraph" w:styleId="Betarp">
    <w:name w:val="No Spacing"/>
    <w:uiPriority w:val="1"/>
    <w:qFormat/>
    <w:rsid w:val="00741810"/>
    <w:pPr>
      <w:widowControl w:val="0"/>
      <w:autoSpaceDE w:val="0"/>
      <w:autoSpaceDN w:val="0"/>
      <w:adjustRightInd w:val="0"/>
      <w:ind w:firstLine="720"/>
    </w:pPr>
    <w:rPr>
      <w:rFonts w:ascii="Arial" w:eastAsia="Times New Roman" w:hAnsi="Arial" w:cs="Arial"/>
      <w:szCs w:val="24"/>
    </w:rPr>
  </w:style>
  <w:style w:type="paragraph" w:styleId="Debesliotekstas">
    <w:name w:val="Balloon Text"/>
    <w:basedOn w:val="prastasis"/>
    <w:link w:val="DebesliotekstasDiagrama"/>
    <w:uiPriority w:val="99"/>
    <w:semiHidden/>
    <w:unhideWhenUsed/>
    <w:rsid w:val="00C20E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0E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8">
      <w:bodyDiv w:val="1"/>
      <w:marLeft w:val="0"/>
      <w:marRight w:val="0"/>
      <w:marTop w:val="0"/>
      <w:marBottom w:val="0"/>
      <w:divBdr>
        <w:top w:val="none" w:sz="0" w:space="0" w:color="auto"/>
        <w:left w:val="none" w:sz="0" w:space="0" w:color="auto"/>
        <w:bottom w:val="none" w:sz="0" w:space="0" w:color="auto"/>
        <w:right w:val="none" w:sz="0" w:space="0" w:color="auto"/>
      </w:divBdr>
    </w:div>
    <w:div w:id="66079534">
      <w:bodyDiv w:val="1"/>
      <w:marLeft w:val="0"/>
      <w:marRight w:val="0"/>
      <w:marTop w:val="0"/>
      <w:marBottom w:val="0"/>
      <w:divBdr>
        <w:top w:val="none" w:sz="0" w:space="0" w:color="auto"/>
        <w:left w:val="none" w:sz="0" w:space="0" w:color="auto"/>
        <w:bottom w:val="none" w:sz="0" w:space="0" w:color="auto"/>
        <w:right w:val="none" w:sz="0" w:space="0" w:color="auto"/>
      </w:divBdr>
    </w:div>
    <w:div w:id="78210593">
      <w:bodyDiv w:val="1"/>
      <w:marLeft w:val="0"/>
      <w:marRight w:val="0"/>
      <w:marTop w:val="0"/>
      <w:marBottom w:val="150"/>
      <w:divBdr>
        <w:top w:val="none" w:sz="0" w:space="0" w:color="auto"/>
        <w:left w:val="none" w:sz="0" w:space="0" w:color="auto"/>
        <w:bottom w:val="none" w:sz="0" w:space="0" w:color="auto"/>
        <w:right w:val="none" w:sz="0" w:space="0" w:color="auto"/>
      </w:divBdr>
      <w:divsChild>
        <w:div w:id="401874673">
          <w:marLeft w:val="600"/>
          <w:marRight w:val="0"/>
          <w:marTop w:val="0"/>
          <w:marBottom w:val="0"/>
          <w:divBdr>
            <w:top w:val="none" w:sz="0" w:space="0" w:color="auto"/>
            <w:left w:val="none" w:sz="0" w:space="0" w:color="auto"/>
            <w:bottom w:val="none" w:sz="0" w:space="0" w:color="auto"/>
            <w:right w:val="none" w:sz="0" w:space="0" w:color="auto"/>
          </w:divBdr>
          <w:divsChild>
            <w:div w:id="1653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45">
      <w:bodyDiv w:val="1"/>
      <w:marLeft w:val="225"/>
      <w:marRight w:val="225"/>
      <w:marTop w:val="0"/>
      <w:marBottom w:val="0"/>
      <w:divBdr>
        <w:top w:val="none" w:sz="0" w:space="0" w:color="auto"/>
        <w:left w:val="none" w:sz="0" w:space="0" w:color="auto"/>
        <w:bottom w:val="none" w:sz="0" w:space="0" w:color="auto"/>
        <w:right w:val="none" w:sz="0" w:space="0" w:color="auto"/>
      </w:divBdr>
      <w:divsChild>
        <w:div w:id="1550847821">
          <w:marLeft w:val="0"/>
          <w:marRight w:val="0"/>
          <w:marTop w:val="0"/>
          <w:marBottom w:val="0"/>
          <w:divBdr>
            <w:top w:val="none" w:sz="0" w:space="0" w:color="auto"/>
            <w:left w:val="none" w:sz="0" w:space="0" w:color="auto"/>
            <w:bottom w:val="none" w:sz="0" w:space="0" w:color="auto"/>
            <w:right w:val="none" w:sz="0" w:space="0" w:color="auto"/>
          </w:divBdr>
        </w:div>
      </w:divsChild>
    </w:div>
    <w:div w:id="493105113">
      <w:bodyDiv w:val="1"/>
      <w:marLeft w:val="225"/>
      <w:marRight w:val="225"/>
      <w:marTop w:val="0"/>
      <w:marBottom w:val="0"/>
      <w:divBdr>
        <w:top w:val="none" w:sz="0" w:space="0" w:color="auto"/>
        <w:left w:val="none" w:sz="0" w:space="0" w:color="auto"/>
        <w:bottom w:val="none" w:sz="0" w:space="0" w:color="auto"/>
        <w:right w:val="none" w:sz="0" w:space="0" w:color="auto"/>
      </w:divBdr>
      <w:divsChild>
        <w:div w:id="40640221">
          <w:marLeft w:val="0"/>
          <w:marRight w:val="0"/>
          <w:marTop w:val="0"/>
          <w:marBottom w:val="0"/>
          <w:divBdr>
            <w:top w:val="none" w:sz="0" w:space="0" w:color="auto"/>
            <w:left w:val="none" w:sz="0" w:space="0" w:color="auto"/>
            <w:bottom w:val="none" w:sz="0" w:space="0" w:color="auto"/>
            <w:right w:val="none" w:sz="0" w:space="0" w:color="auto"/>
          </w:divBdr>
        </w:div>
      </w:divsChild>
    </w:div>
    <w:div w:id="1110736153">
      <w:bodyDiv w:val="1"/>
      <w:marLeft w:val="225"/>
      <w:marRight w:val="225"/>
      <w:marTop w:val="0"/>
      <w:marBottom w:val="0"/>
      <w:divBdr>
        <w:top w:val="none" w:sz="0" w:space="0" w:color="auto"/>
        <w:left w:val="none" w:sz="0" w:space="0" w:color="auto"/>
        <w:bottom w:val="none" w:sz="0" w:space="0" w:color="auto"/>
        <w:right w:val="none" w:sz="0" w:space="0" w:color="auto"/>
      </w:divBdr>
      <w:divsChild>
        <w:div w:id="1534539198">
          <w:marLeft w:val="0"/>
          <w:marRight w:val="0"/>
          <w:marTop w:val="0"/>
          <w:marBottom w:val="0"/>
          <w:divBdr>
            <w:top w:val="none" w:sz="0" w:space="0" w:color="auto"/>
            <w:left w:val="none" w:sz="0" w:space="0" w:color="auto"/>
            <w:bottom w:val="none" w:sz="0" w:space="0" w:color="auto"/>
            <w:right w:val="none" w:sz="0" w:space="0" w:color="auto"/>
          </w:divBdr>
        </w:div>
      </w:divsChild>
    </w:div>
    <w:div w:id="1387332646">
      <w:bodyDiv w:val="1"/>
      <w:marLeft w:val="0"/>
      <w:marRight w:val="0"/>
      <w:marTop w:val="0"/>
      <w:marBottom w:val="0"/>
      <w:divBdr>
        <w:top w:val="none" w:sz="0" w:space="0" w:color="auto"/>
        <w:left w:val="none" w:sz="0" w:space="0" w:color="auto"/>
        <w:bottom w:val="none" w:sz="0" w:space="0" w:color="auto"/>
        <w:right w:val="none" w:sz="0" w:space="0" w:color="auto"/>
      </w:divBdr>
    </w:div>
    <w:div w:id="1404178294">
      <w:bodyDiv w:val="1"/>
      <w:marLeft w:val="225"/>
      <w:marRight w:val="225"/>
      <w:marTop w:val="0"/>
      <w:marBottom w:val="0"/>
      <w:divBdr>
        <w:top w:val="none" w:sz="0" w:space="0" w:color="auto"/>
        <w:left w:val="none" w:sz="0" w:space="0" w:color="auto"/>
        <w:bottom w:val="none" w:sz="0" w:space="0" w:color="auto"/>
        <w:right w:val="none" w:sz="0" w:space="0" w:color="auto"/>
      </w:divBdr>
      <w:divsChild>
        <w:div w:id="265238908">
          <w:marLeft w:val="0"/>
          <w:marRight w:val="0"/>
          <w:marTop w:val="0"/>
          <w:marBottom w:val="0"/>
          <w:divBdr>
            <w:top w:val="none" w:sz="0" w:space="0" w:color="auto"/>
            <w:left w:val="none" w:sz="0" w:space="0" w:color="auto"/>
            <w:bottom w:val="none" w:sz="0" w:space="0" w:color="auto"/>
            <w:right w:val="none" w:sz="0" w:space="0" w:color="auto"/>
          </w:divBdr>
        </w:div>
      </w:divsChild>
    </w:div>
    <w:div w:id="1960528482">
      <w:bodyDiv w:val="1"/>
      <w:marLeft w:val="0"/>
      <w:marRight w:val="0"/>
      <w:marTop w:val="0"/>
      <w:marBottom w:val="150"/>
      <w:divBdr>
        <w:top w:val="none" w:sz="0" w:space="0" w:color="auto"/>
        <w:left w:val="none" w:sz="0" w:space="0" w:color="auto"/>
        <w:bottom w:val="none" w:sz="0" w:space="0" w:color="auto"/>
        <w:right w:val="none" w:sz="0" w:space="0" w:color="auto"/>
      </w:divBdr>
      <w:divsChild>
        <w:div w:id="2051614462">
          <w:marLeft w:val="600"/>
          <w:marRight w:val="0"/>
          <w:marTop w:val="0"/>
          <w:marBottom w:val="0"/>
          <w:divBdr>
            <w:top w:val="none" w:sz="0" w:space="0" w:color="auto"/>
            <w:left w:val="none" w:sz="0" w:space="0" w:color="auto"/>
            <w:bottom w:val="none" w:sz="0" w:space="0" w:color="auto"/>
            <w:right w:val="none" w:sz="0" w:space="0" w:color="auto"/>
          </w:divBdr>
          <w:divsChild>
            <w:div w:id="3217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4053">
      <w:bodyDiv w:val="1"/>
      <w:marLeft w:val="225"/>
      <w:marRight w:val="225"/>
      <w:marTop w:val="0"/>
      <w:marBottom w:val="0"/>
      <w:divBdr>
        <w:top w:val="none" w:sz="0" w:space="0" w:color="auto"/>
        <w:left w:val="none" w:sz="0" w:space="0" w:color="auto"/>
        <w:bottom w:val="none" w:sz="0" w:space="0" w:color="auto"/>
        <w:right w:val="none" w:sz="0" w:space="0" w:color="auto"/>
      </w:divBdr>
      <w:divsChild>
        <w:div w:id="1004748040">
          <w:marLeft w:val="0"/>
          <w:marRight w:val="0"/>
          <w:marTop w:val="0"/>
          <w:marBottom w:val="0"/>
          <w:divBdr>
            <w:top w:val="none" w:sz="0" w:space="0" w:color="auto"/>
            <w:left w:val="none" w:sz="0" w:space="0" w:color="auto"/>
            <w:bottom w:val="none" w:sz="0" w:space="0" w:color="auto"/>
            <w:right w:val="none" w:sz="0" w:space="0" w:color="auto"/>
          </w:divBdr>
        </w:div>
      </w:divsChild>
    </w:div>
    <w:div w:id="2081751988">
      <w:bodyDiv w:val="1"/>
      <w:marLeft w:val="225"/>
      <w:marRight w:val="225"/>
      <w:marTop w:val="0"/>
      <w:marBottom w:val="0"/>
      <w:divBdr>
        <w:top w:val="none" w:sz="0" w:space="0" w:color="auto"/>
        <w:left w:val="none" w:sz="0" w:space="0" w:color="auto"/>
        <w:bottom w:val="none" w:sz="0" w:space="0" w:color="auto"/>
        <w:right w:val="none" w:sz="0" w:space="0" w:color="auto"/>
      </w:divBdr>
      <w:divsChild>
        <w:div w:id="24418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61EB-3702-4D92-BAD6-5DB5B400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27</Pages>
  <Words>64412</Words>
  <Characters>36716</Characters>
  <Application>Microsoft Office Word</Application>
  <DocSecurity>0</DocSecurity>
  <Lines>305</Lines>
  <Paragraphs>201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Daiva Gavėnienė</cp:lastModifiedBy>
  <cp:revision>9</cp:revision>
  <cp:lastPrinted>2015-01-26T09:19:00Z</cp:lastPrinted>
  <dcterms:created xsi:type="dcterms:W3CDTF">2015-01-26T09:39:00Z</dcterms:created>
  <dcterms:modified xsi:type="dcterms:W3CDTF">2015-01-28T06:53:00Z</dcterms:modified>
</cp:coreProperties>
</file>