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33" w:rsidRPr="00C20EB1" w:rsidRDefault="002B7C28" w:rsidP="00C20EB1">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983615" cy="107251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6" w:rsidRDefault="004C4BAC" w:rsidP="00613147">
                            <w:r>
                              <w:rPr>
                                <w:noProof/>
                              </w:rPr>
                              <w:drawing>
                                <wp:inline distT="0" distB="0" distL="0" distR="0">
                                  <wp:extent cx="771525" cy="981075"/>
                                  <wp:effectExtent l="19050" t="0" r="9525" b="0"/>
                                  <wp:docPr id="1" name="Paveikslėlis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_bw"/>
                                          <pic:cNvPicPr>
                                            <a:picLocks noChangeAspect="1" noChangeArrowheads="1"/>
                                          </pic:cNvPicPr>
                                        </pic:nvPicPr>
                                        <pic:blipFill>
                                          <a:blip r:embed="rId6"/>
                                          <a:srcRect/>
                                          <a:stretch>
                                            <a:fillRect/>
                                          </a:stretch>
                                        </pic:blipFill>
                                        <pic:spPr bwMode="auto">
                                          <a:xfrm>
                                            <a:off x="0" y="0"/>
                                            <a:ext cx="771525"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77.45pt;height:8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BsfAIAAA0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" stroked="f">
                <v:textbox style="mso-fit-shape-to-text:t">
                  <w:txbxContent>
                    <w:p w:rsidR="00D33B96" w:rsidRDefault="004C4BAC" w:rsidP="00613147">
                      <w:r>
                        <w:rPr>
                          <w:noProof/>
                        </w:rPr>
                        <w:drawing>
                          <wp:inline distT="0" distB="0" distL="0" distR="0">
                            <wp:extent cx="771525" cy="981075"/>
                            <wp:effectExtent l="19050" t="0" r="9525" b="0"/>
                            <wp:docPr id="1" name="Paveikslėlis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_bw"/>
                                    <pic:cNvPicPr>
                                      <a:picLocks noChangeAspect="1" noChangeArrowheads="1"/>
                                    </pic:cNvPicPr>
                                  </pic:nvPicPr>
                                  <pic:blipFill>
                                    <a:blip r:embed="rId7"/>
                                    <a:srcRect/>
                                    <a:stretch>
                                      <a:fillRect/>
                                    </a:stretch>
                                  </pic:blipFill>
                                  <pic:spPr bwMode="auto">
                                    <a:xfrm>
                                      <a:off x="0" y="0"/>
                                      <a:ext cx="771525" cy="981075"/>
                                    </a:xfrm>
                                    <a:prstGeom prst="rect">
                                      <a:avLst/>
                                    </a:prstGeom>
                                    <a:noFill/>
                                    <a:ln w="9525">
                                      <a:noFill/>
                                      <a:miter lim="800000"/>
                                      <a:headEnd/>
                                      <a:tailEnd/>
                                    </a:ln>
                                  </pic:spPr>
                                </pic:pic>
                              </a:graphicData>
                            </a:graphic>
                          </wp:inline>
                        </w:drawing>
                      </w:r>
                    </w:p>
                  </w:txbxContent>
                </v:textbox>
                <w10:wrap type="square"/>
              </v:shape>
            </w:pict>
          </mc:Fallback>
        </mc:AlternateContent>
      </w:r>
      <w:r w:rsidR="00D72733" w:rsidRPr="00C20EB1">
        <w:rPr>
          <w:b/>
        </w:rPr>
        <w:t>VALSTYBĖS ĮMONĖS JURBARKO MIŠKŲ URĖDIJOS</w:t>
      </w:r>
    </w:p>
    <w:p w:rsidR="00D72733" w:rsidRPr="00C20EB1" w:rsidRDefault="00D72733" w:rsidP="00C20EB1">
      <w:pPr>
        <w:jc w:val="center"/>
        <w:rPr>
          <w:b/>
        </w:rPr>
      </w:pPr>
      <w:r w:rsidRPr="00C20EB1">
        <w:rPr>
          <w:b/>
        </w:rPr>
        <w:t>MIŠKŲ URĖDAS</w:t>
      </w:r>
    </w:p>
    <w:p w:rsidR="00D72733" w:rsidRPr="00C20EB1" w:rsidRDefault="00D72733" w:rsidP="00C20EB1">
      <w:pPr>
        <w:jc w:val="center"/>
        <w:rPr>
          <w:b/>
        </w:rPr>
      </w:pPr>
    </w:p>
    <w:p w:rsidR="00D72733" w:rsidRDefault="00D72733" w:rsidP="00613147"/>
    <w:p w:rsidR="00D72733" w:rsidRDefault="00D72733" w:rsidP="00613147"/>
    <w:p w:rsidR="00FB1740" w:rsidRDefault="00FB1740" w:rsidP="00E16C00">
      <w:pPr>
        <w:jc w:val="center"/>
        <w:rPr>
          <w:b/>
        </w:rPr>
      </w:pPr>
    </w:p>
    <w:p w:rsidR="00724B7F" w:rsidRDefault="00724B7F" w:rsidP="00E16C00">
      <w:pPr>
        <w:jc w:val="center"/>
        <w:rPr>
          <w:b/>
        </w:rPr>
      </w:pPr>
    </w:p>
    <w:p w:rsidR="00D72733" w:rsidRPr="00046523" w:rsidRDefault="00D72733" w:rsidP="00E16C00">
      <w:pPr>
        <w:jc w:val="center"/>
        <w:rPr>
          <w:b/>
        </w:rPr>
      </w:pPr>
      <w:r w:rsidRPr="00046523">
        <w:rPr>
          <w:b/>
        </w:rPr>
        <w:t>ĮSAKYMAS</w:t>
      </w:r>
    </w:p>
    <w:p w:rsidR="00613147" w:rsidRPr="00046523" w:rsidRDefault="00613147" w:rsidP="00E16C00">
      <w:pPr>
        <w:jc w:val="center"/>
        <w:rPr>
          <w:b/>
          <w:bCs/>
        </w:rPr>
      </w:pPr>
      <w:r w:rsidRPr="00046523">
        <w:rPr>
          <w:b/>
        </w:rPr>
        <w:t>DĖL</w:t>
      </w:r>
      <w:r w:rsidR="00B85CCA" w:rsidRPr="00046523">
        <w:rPr>
          <w:b/>
        </w:rPr>
        <w:t xml:space="preserve"> </w:t>
      </w:r>
      <w:r w:rsidR="003520EE" w:rsidRPr="00046523">
        <w:rPr>
          <w:b/>
        </w:rPr>
        <w:t>MIŠKŲ URĖDO 2014 M. GRUODŽIO 31 D. ĮSAKYMO NR. UĮ – 121</w:t>
      </w:r>
      <w:r w:rsidR="00873B8C" w:rsidRPr="00046523">
        <w:rPr>
          <w:b/>
        </w:rPr>
        <w:t xml:space="preserve"> „</w:t>
      </w:r>
      <w:r w:rsidR="003520EE" w:rsidRPr="00046523">
        <w:rPr>
          <w:b/>
        </w:rPr>
        <w:t>DĖL NAUJŲ VĮ JURBARKO MIŠKŲ URĖDIJOS SUPAPRASTINTŲ VIEŠŲJŲ PIR</w:t>
      </w:r>
      <w:r w:rsidR="00832602" w:rsidRPr="00046523">
        <w:rPr>
          <w:b/>
        </w:rPr>
        <w:t>KIMŲ TAISYKLIŲ IR SUPAPRASTINTO</w:t>
      </w:r>
      <w:r w:rsidR="003520EE" w:rsidRPr="00046523">
        <w:rPr>
          <w:b/>
        </w:rPr>
        <w:t xml:space="preserve"> PIRKIMO PAŽYMOS TVIRTINIMO</w:t>
      </w:r>
      <w:r w:rsidR="00873B8C" w:rsidRPr="00046523">
        <w:rPr>
          <w:b/>
        </w:rPr>
        <w:t>“ PAKEITIMO</w:t>
      </w:r>
    </w:p>
    <w:p w:rsidR="005B2984" w:rsidRPr="00046523" w:rsidRDefault="005B2984" w:rsidP="00613147"/>
    <w:p w:rsidR="00D72733" w:rsidRPr="00046523" w:rsidRDefault="00D72733" w:rsidP="00E16C00">
      <w:pPr>
        <w:jc w:val="center"/>
      </w:pPr>
      <w:r w:rsidRPr="00046523">
        <w:t>201</w:t>
      </w:r>
      <w:r w:rsidR="00563477" w:rsidRPr="00046523">
        <w:t>5</w:t>
      </w:r>
      <w:r w:rsidR="006913C6" w:rsidRPr="00046523">
        <w:t xml:space="preserve"> m</w:t>
      </w:r>
      <w:r w:rsidR="003C2022">
        <w:t>. gegužės 25</w:t>
      </w:r>
      <w:r w:rsidR="003520EE" w:rsidRPr="00046523">
        <w:t xml:space="preserve"> </w:t>
      </w:r>
      <w:r w:rsidR="00873B8C" w:rsidRPr="00046523">
        <w:t>d.</w:t>
      </w:r>
      <w:r w:rsidR="00A60DD8" w:rsidRPr="00046523">
        <w:t xml:space="preserve"> </w:t>
      </w:r>
      <w:r w:rsidR="00F749AF" w:rsidRPr="00046523">
        <w:t xml:space="preserve"> </w:t>
      </w:r>
      <w:r w:rsidR="003C2022">
        <w:t>Nr. UĮ - 66</w:t>
      </w:r>
      <w:bookmarkStart w:id="0" w:name="_GoBack"/>
      <w:bookmarkEnd w:id="0"/>
    </w:p>
    <w:p w:rsidR="00D72733" w:rsidRPr="00046523" w:rsidRDefault="00D72733" w:rsidP="00E16C00">
      <w:pPr>
        <w:jc w:val="center"/>
        <w:rPr>
          <w:b/>
        </w:rPr>
      </w:pPr>
      <w:r w:rsidRPr="00046523">
        <w:t>Jurbarkas</w:t>
      </w:r>
    </w:p>
    <w:p w:rsidR="00AB55F4" w:rsidRPr="00046523" w:rsidRDefault="00AB55F4" w:rsidP="00A374BA">
      <w:pPr>
        <w:jc w:val="both"/>
      </w:pPr>
    </w:p>
    <w:p w:rsidR="00AB55F4" w:rsidRPr="00046523" w:rsidRDefault="00AB55F4" w:rsidP="004C3C9F">
      <w:pPr>
        <w:jc w:val="both"/>
      </w:pPr>
    </w:p>
    <w:p w:rsidR="00664518" w:rsidRPr="00046523" w:rsidRDefault="003520EE" w:rsidP="004C3C9F">
      <w:pPr>
        <w:ind w:firstLine="1296"/>
        <w:jc w:val="both"/>
      </w:pPr>
      <w:r w:rsidRPr="00046523">
        <w:t>P</w:t>
      </w:r>
      <w:r w:rsidR="00AB55F4" w:rsidRPr="00046523">
        <w:t xml:space="preserve"> a k e i č i u </w:t>
      </w:r>
      <w:r w:rsidR="00220A31" w:rsidRPr="00046523">
        <w:t xml:space="preserve">Valstybės įmonės </w:t>
      </w:r>
      <w:r w:rsidRPr="00046523">
        <w:t xml:space="preserve">Jurbarko miškų urėdijos Supaprastintų viešųjų pirkimų taisykles, patvirtintas Valstybės įmonės </w:t>
      </w:r>
      <w:r w:rsidR="00220A31" w:rsidRPr="00046523">
        <w:t>Jurbarko</w:t>
      </w:r>
      <w:r w:rsidRPr="00046523">
        <w:t xml:space="preserve"> miškų urėdijos miškų urėdo 2014 m. gruodžio 31 d. įsakymu Nr. UĮ – 121 </w:t>
      </w:r>
      <w:r w:rsidR="00220A31" w:rsidRPr="00046523">
        <w:t>„</w:t>
      </w:r>
      <w:r w:rsidRPr="00046523">
        <w:t>Dėl naujų VĮ Jurbarko miškų urėdijos Supaprastintų viešųjų pirkimų taisyklių ir Supaprastinto pirkimo pažymos tvirtinimo“</w:t>
      </w:r>
      <w:r w:rsidR="00220A31" w:rsidRPr="00046523">
        <w:t>:</w:t>
      </w:r>
      <w:r w:rsidR="00664518" w:rsidRPr="00046523">
        <w:t xml:space="preserve"> </w:t>
      </w:r>
    </w:p>
    <w:p w:rsidR="00046523" w:rsidRPr="00046523" w:rsidRDefault="00046523" w:rsidP="004C3C9F">
      <w:pPr>
        <w:pStyle w:val="Sraopastraipa"/>
        <w:numPr>
          <w:ilvl w:val="0"/>
          <w:numId w:val="5"/>
        </w:numPr>
        <w:jc w:val="both"/>
        <w:rPr>
          <w:spacing w:val="-2"/>
        </w:rPr>
      </w:pPr>
      <w:r w:rsidRPr="00046523">
        <w:rPr>
          <w:spacing w:val="-2"/>
        </w:rPr>
        <w:t>Papildau II skyrių 16¹</w:t>
      </w:r>
      <w:r w:rsidR="00C24295">
        <w:rPr>
          <w:spacing w:val="-2"/>
        </w:rPr>
        <w:t xml:space="preserve"> punktu</w:t>
      </w:r>
      <w:r w:rsidRPr="00046523">
        <w:rPr>
          <w:spacing w:val="-2"/>
        </w:rPr>
        <w:t>:</w:t>
      </w:r>
    </w:p>
    <w:p w:rsidR="00756431" w:rsidRDefault="00046523" w:rsidP="00756431">
      <w:pPr>
        <w:ind w:firstLine="1296"/>
        <w:jc w:val="both"/>
        <w:rPr>
          <w:rFonts w:eastAsia="Calibri"/>
        </w:rPr>
      </w:pPr>
      <w:r w:rsidRPr="00046523">
        <w:rPr>
          <w:rFonts w:eastAsia="Calibri"/>
        </w:rPr>
        <w:t>„</w:t>
      </w:r>
      <w:r w:rsidR="00756431" w:rsidRPr="00046523">
        <w:rPr>
          <w:spacing w:val="-2"/>
        </w:rPr>
        <w:t>16¹</w:t>
      </w:r>
      <w:r w:rsidR="00756431">
        <w:rPr>
          <w:spacing w:val="-2"/>
        </w:rPr>
        <w:t xml:space="preserve">. </w:t>
      </w:r>
      <w:r w:rsidRPr="00046523">
        <w:rPr>
          <w:rFonts w:eastAsia="Calibri"/>
        </w:rPr>
        <w:t>Perkančioji organizacija laimėjusio dalyvio pasiūlymą, sudarytą pirkimo sutartį ir pirkimo</w:t>
      </w:r>
      <w:r w:rsidR="004C3C9F">
        <w:rPr>
          <w:spacing w:val="-2"/>
        </w:rPr>
        <w:t xml:space="preserve"> </w:t>
      </w:r>
      <w:r w:rsidRPr="00046523">
        <w:rPr>
          <w:rFonts w:eastAsia="Calibri"/>
        </w:rPr>
        <w:t>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skelbia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sudaro galimybę susipažinti su nepaskelbtomis laimėjusio dalyvio pasiūlymo ar pirkimo sutarties dalimis.</w:t>
      </w:r>
      <w:r w:rsidR="00756431">
        <w:rPr>
          <w:rFonts w:eastAsia="Calibri"/>
        </w:rPr>
        <w:t xml:space="preserve">“ </w:t>
      </w:r>
    </w:p>
    <w:p w:rsidR="00756431" w:rsidRDefault="00756431" w:rsidP="00756431">
      <w:pPr>
        <w:ind w:firstLine="1296"/>
        <w:jc w:val="both"/>
        <w:rPr>
          <w:rFonts w:eastAsia="Calibri"/>
        </w:rPr>
      </w:pPr>
      <w:r>
        <w:rPr>
          <w:rFonts w:eastAsia="Calibri"/>
        </w:rPr>
        <w:t>2. Išdėstau 41 punktą taip:</w:t>
      </w:r>
    </w:p>
    <w:p w:rsidR="001D2832" w:rsidRDefault="00756431" w:rsidP="001D2832">
      <w:pPr>
        <w:ind w:firstLine="1296"/>
        <w:jc w:val="both"/>
        <w:rPr>
          <w:spacing w:val="-2"/>
        </w:rPr>
      </w:pPr>
      <w:r>
        <w:rPr>
          <w:spacing w:val="-2"/>
        </w:rPr>
        <w:t xml:space="preserve">„41. </w:t>
      </w:r>
      <w:r w:rsidRPr="00756431">
        <w:rPr>
          <w:spacing w:val="-2"/>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8" w:history="1">
        <w:r w:rsidRPr="00756431">
          <w:rPr>
            <w:rStyle w:val="Hipersaitas"/>
            <w:color w:val="auto"/>
            <w:spacing w:val="-2"/>
            <w:u w:val="none"/>
          </w:rPr>
          <w:t>60-2396</w:t>
        </w:r>
      </w:hyperlink>
      <w:r w:rsidRPr="00756431">
        <w:rPr>
          <w:spacing w:val="-2"/>
        </w:rPr>
        <w:t>; 2011, Nr. </w:t>
      </w:r>
      <w:hyperlink r:id="rId9" w:history="1">
        <w:r w:rsidRPr="00756431">
          <w:rPr>
            <w:rStyle w:val="Hipersaitas"/>
            <w:color w:val="auto"/>
            <w:spacing w:val="-2"/>
            <w:u w:val="none"/>
          </w:rPr>
          <w:t>157-7462</w:t>
        </w:r>
      </w:hyperlink>
      <w:r w:rsidRPr="00756431">
        <w:rPr>
          <w:spacing w:val="-2"/>
        </w:rPr>
        <w:t>).</w:t>
      </w:r>
      <w:r>
        <w:rPr>
          <w:spacing w:val="-2"/>
        </w:rPr>
        <w:t xml:space="preserve"> Perkančioji organizacija taip pat gali skelbti pirkimų, kuriems šiame punkte nustatytas techninių specifikacijų projektų skelbimo reikalavimas netaikomas, techninių specifikacijų projektus.“</w:t>
      </w:r>
    </w:p>
    <w:p w:rsidR="00171E39" w:rsidRDefault="00FC08DF" w:rsidP="001D2832">
      <w:pPr>
        <w:ind w:firstLine="1296"/>
        <w:jc w:val="both"/>
        <w:rPr>
          <w:spacing w:val="-2"/>
        </w:rPr>
      </w:pPr>
      <w:r w:rsidRPr="00FC08DF">
        <w:rPr>
          <w:spacing w:val="-2"/>
        </w:rPr>
        <w:t xml:space="preserve">3. </w:t>
      </w:r>
      <w:r w:rsidR="00171E39">
        <w:rPr>
          <w:spacing w:val="-2"/>
        </w:rPr>
        <w:t>Papildau XI skyrių 80</w:t>
      </w:r>
      <w:r w:rsidR="00171E39" w:rsidRPr="001D2832">
        <w:rPr>
          <w:spacing w:val="-2"/>
        </w:rPr>
        <w:t>¹</w:t>
      </w:r>
      <w:r w:rsidR="00171E39">
        <w:rPr>
          <w:spacing w:val="-2"/>
        </w:rPr>
        <w:t xml:space="preserve"> punktu:</w:t>
      </w:r>
    </w:p>
    <w:p w:rsidR="00171E39" w:rsidRDefault="00171E39" w:rsidP="00FC08DF">
      <w:pPr>
        <w:autoSpaceDE w:val="0"/>
        <w:autoSpaceDN w:val="0"/>
        <w:adjustRightInd w:val="0"/>
        <w:ind w:firstLine="1296"/>
        <w:jc w:val="both"/>
      </w:pPr>
      <w:r>
        <w:rPr>
          <w:spacing w:val="-2"/>
        </w:rPr>
        <w:t>„80</w:t>
      </w:r>
      <w:r w:rsidRPr="001D2832">
        <w:rPr>
          <w:spacing w:val="-2"/>
        </w:rPr>
        <w:t>¹</w:t>
      </w:r>
      <w:r>
        <w:rPr>
          <w:spacing w:val="-2"/>
        </w:rPr>
        <w:t xml:space="preserve">. </w:t>
      </w:r>
      <w:r w:rsidRPr="00171E39">
        <w:t xml:space="preserve">Tiekėjai </w:t>
      </w:r>
      <w:r w:rsidR="005A2887">
        <w:t xml:space="preserve">gali būti </w:t>
      </w:r>
      <w:r w:rsidRPr="00171E39">
        <w:t>apklausiami žodžiu arba raštu, atsiž</w:t>
      </w:r>
      <w:r w:rsidR="00FC08DF">
        <w:t>velgiant į Taisyklių 91 – 91</w:t>
      </w:r>
      <w:r w:rsidR="00FC08DF">
        <w:rPr>
          <w:spacing w:val="-2"/>
        </w:rPr>
        <w:t xml:space="preserve">² punktuose </w:t>
      </w:r>
      <w:r w:rsidRPr="00171E39">
        <w:t>nustatytas sąlygas. Raštu atliekamos apklausos pasiūlymų pateikimo terminas turi būti ne trumpesnis kaip 3 darbo dienos nuo kvietimo dalyvauti pirkime išsiuntimo tiekėjams dienos. Šis terminas netaikomas, jei apklausa atliekama žodžiu. Pasiūlymų pateikimo terminas neturi pažeisti protingumo principų.</w:t>
      </w:r>
      <w:r w:rsidR="00FC08DF">
        <w:t>“</w:t>
      </w:r>
    </w:p>
    <w:p w:rsidR="00E066BD" w:rsidRDefault="00E066BD" w:rsidP="00FC08DF">
      <w:pPr>
        <w:autoSpaceDE w:val="0"/>
        <w:autoSpaceDN w:val="0"/>
        <w:adjustRightInd w:val="0"/>
        <w:ind w:firstLine="1296"/>
        <w:jc w:val="both"/>
      </w:pPr>
      <w:r>
        <w:t xml:space="preserve">4. Išdėstau </w:t>
      </w:r>
      <w:r w:rsidRPr="001A6AEE">
        <w:t>84 punkt</w:t>
      </w:r>
      <w:r>
        <w:t>ą taip:</w:t>
      </w:r>
    </w:p>
    <w:p w:rsidR="001A6AEE" w:rsidRPr="00E066BD" w:rsidRDefault="001A6AEE" w:rsidP="001A6AEE">
      <w:pPr>
        <w:autoSpaceDE w:val="0"/>
        <w:autoSpaceDN w:val="0"/>
        <w:adjustRightInd w:val="0"/>
        <w:ind w:firstLine="1296"/>
        <w:jc w:val="both"/>
      </w:pPr>
      <w:r>
        <w:t>„</w:t>
      </w:r>
      <w:r w:rsidRPr="00E066BD">
        <w:t xml:space="preserve">84. Apklausti vieną tiekėją </w:t>
      </w:r>
      <w:r w:rsidR="0083125D">
        <w:t xml:space="preserve">galima, jeigu yra bent viena </w:t>
      </w:r>
      <w:r w:rsidRPr="00E066BD">
        <w:t>iš žemiau nurodytų sąlygų:</w:t>
      </w:r>
    </w:p>
    <w:p w:rsidR="001A6AEE" w:rsidRDefault="001A6AEE" w:rsidP="001A6AEE">
      <w:pPr>
        <w:autoSpaceDE w:val="0"/>
        <w:autoSpaceDN w:val="0"/>
        <w:adjustRightInd w:val="0"/>
        <w:ind w:firstLine="1296"/>
        <w:jc w:val="both"/>
      </w:pPr>
      <w:r>
        <w:t>84</w:t>
      </w:r>
      <w:r w:rsidRPr="00E066BD">
        <w:t xml:space="preserve">.1. kai </w:t>
      </w:r>
      <w:r>
        <w:t xml:space="preserve">numatoma </w:t>
      </w:r>
      <w:r w:rsidRPr="00E066BD">
        <w:t xml:space="preserve">pirkimo sutarties vertė </w:t>
      </w:r>
      <w:r w:rsidR="00225774">
        <w:t>neviršija</w:t>
      </w:r>
      <w:r w:rsidRPr="00E066BD">
        <w:t xml:space="preserve"> 1</w:t>
      </w:r>
      <w:r w:rsidRPr="00E066BD">
        <w:rPr>
          <w:lang w:val="en-US"/>
        </w:rPr>
        <w:t>4 500</w:t>
      </w:r>
      <w:r w:rsidRPr="00E066BD">
        <w:t xml:space="preserve"> Eur (be PVM);</w:t>
      </w:r>
    </w:p>
    <w:p w:rsidR="001A6AEE" w:rsidRPr="00E066BD" w:rsidRDefault="001A6AEE" w:rsidP="001A6AEE">
      <w:pPr>
        <w:autoSpaceDE w:val="0"/>
        <w:autoSpaceDN w:val="0"/>
        <w:adjustRightInd w:val="0"/>
        <w:ind w:firstLine="1296"/>
        <w:jc w:val="both"/>
      </w:pPr>
      <w:r w:rsidRPr="001A6AEE">
        <w:t xml:space="preserve">84.2. </w:t>
      </w:r>
      <w:r w:rsidRPr="00E066BD">
        <w:t>dėl techninių, meninių priežasčių, meninio kūrinio sukūrimo arba įsigijimo ar dėl</w:t>
      </w:r>
      <w:r>
        <w:t xml:space="preserve"> </w:t>
      </w:r>
      <w:r w:rsidRPr="00E066BD">
        <w:t>objektyvių aplinkybių, patentų, kitų intelektinės nuosavybės teisių ar kitų išimtinių teisių apsaugos ar</w:t>
      </w:r>
      <w:r>
        <w:t xml:space="preserve"> </w:t>
      </w:r>
      <w:r w:rsidRPr="00E066BD">
        <w:t>dėl objektyvių aplinkybių tik konkretus tiekėjas gali patiekti reikalingas prekes, pateikti paslaugas ar</w:t>
      </w:r>
    </w:p>
    <w:p w:rsidR="001A6AEE" w:rsidRDefault="001A6AEE" w:rsidP="001A6AEE">
      <w:pPr>
        <w:autoSpaceDE w:val="0"/>
        <w:autoSpaceDN w:val="0"/>
        <w:adjustRightInd w:val="0"/>
        <w:jc w:val="both"/>
      </w:pPr>
      <w:r w:rsidRPr="00E066BD">
        <w:t>atlikti darbus ir nėra jokios kitos priimtinos alternatyvos;</w:t>
      </w:r>
    </w:p>
    <w:p w:rsidR="001A6AEE" w:rsidRDefault="001A6AEE" w:rsidP="001A6AEE">
      <w:pPr>
        <w:autoSpaceDE w:val="0"/>
        <w:autoSpaceDN w:val="0"/>
        <w:adjustRightInd w:val="0"/>
        <w:ind w:firstLine="1296"/>
        <w:jc w:val="both"/>
      </w:pPr>
      <w:r>
        <w:lastRenderedPageBreak/>
        <w:t xml:space="preserve">84.3. </w:t>
      </w:r>
      <w:r w:rsidRPr="00E066BD">
        <w:t>perkančioji organizacija pagal ankstesnę sutartį iš kokio nors tiekėjo pirko prekių arba</w:t>
      </w:r>
      <w:r>
        <w:t xml:space="preserve"> </w:t>
      </w:r>
      <w:r w:rsidRPr="00E066BD">
        <w:t>paslaugų ir nustatė, kad iš jo tikslinga pirkti papildomai, techniniu požiūriu derinant su jau turimomis</w:t>
      </w:r>
      <w:r>
        <w:t xml:space="preserve"> </w:t>
      </w:r>
      <w:r w:rsidRPr="00E066BD">
        <w:t>prekėmis ir suteiktomis paslaugomis, ir jeigu ankstesnieji pirkimai buvo efektyvūs, nesikeičia prekių ar paslaugų kainos ir kitos sąlygos. Tokių papildomų pirkimų bendra vertė neturi viršyti 30 procentų</w:t>
      </w:r>
      <w:r>
        <w:t xml:space="preserve"> </w:t>
      </w:r>
      <w:r w:rsidRPr="00E066BD">
        <w:t>pradinės sutarties vertės;</w:t>
      </w:r>
    </w:p>
    <w:p w:rsidR="001A6AEE" w:rsidRDefault="001A6AEE" w:rsidP="001A6AEE">
      <w:pPr>
        <w:autoSpaceDE w:val="0"/>
        <w:autoSpaceDN w:val="0"/>
        <w:adjustRightInd w:val="0"/>
        <w:ind w:firstLine="1296"/>
        <w:jc w:val="both"/>
      </w:pPr>
      <w:r>
        <w:t xml:space="preserve">84.4. </w:t>
      </w:r>
      <w:r w:rsidRPr="00E066BD">
        <w:t>dėl aplinkybių, kurių nebuvo galima numatyti, paaiškėja, kad reikalingi papildomi darbai</w:t>
      </w:r>
      <w:r>
        <w:t xml:space="preserve"> </w:t>
      </w:r>
      <w:r w:rsidRPr="00E066BD">
        <w:t>arba paslaugos, kurie nebuvo įrašyti į sudarytą pirkimo sutartį, tačiau be kurių negalima užbaigti</w:t>
      </w:r>
      <w:r>
        <w:t xml:space="preserve"> </w:t>
      </w:r>
      <w:r w:rsidRPr="00E066BD">
        <w:t>sutarties vykdymo. Tokia pirkimo sutartis gali būti sudaroma tik su tuo tiekėju, su kuriuo buvo sudaryta pradinė pirkimo sutartis, o jos ir visų kitų papildomai sudarytų sutarčių kaina neturi viršyti 30 procentų pradinės pirkimo sutarties kainos;</w:t>
      </w:r>
    </w:p>
    <w:p w:rsidR="001A6AEE" w:rsidRDefault="001A6AEE" w:rsidP="001A6AEE">
      <w:pPr>
        <w:autoSpaceDE w:val="0"/>
        <w:autoSpaceDN w:val="0"/>
        <w:adjustRightInd w:val="0"/>
        <w:ind w:firstLine="1296"/>
        <w:jc w:val="both"/>
      </w:pPr>
      <w:r>
        <w:t xml:space="preserve">84.5. </w:t>
      </w:r>
      <w:r w:rsidRPr="00E066BD">
        <w:t xml:space="preserve">prenumeruojami laikraščiai, dienraščiai, periodiniai leidiniai </w:t>
      </w:r>
      <w:r>
        <w:t>ir žurnalai;</w:t>
      </w:r>
    </w:p>
    <w:p w:rsidR="001A6AEE" w:rsidRDefault="001A6AEE" w:rsidP="001A6AEE">
      <w:pPr>
        <w:autoSpaceDE w:val="0"/>
        <w:autoSpaceDN w:val="0"/>
        <w:adjustRightInd w:val="0"/>
        <w:ind w:firstLine="1296"/>
        <w:jc w:val="both"/>
      </w:pPr>
      <w:r>
        <w:t>84</w:t>
      </w:r>
      <w:r w:rsidRPr="00E066BD">
        <w:t>.6. perkamos svečių maitinimo paslaugos;</w:t>
      </w:r>
    </w:p>
    <w:p w:rsidR="001A6AEE" w:rsidRDefault="001A6AEE" w:rsidP="001A6AEE">
      <w:pPr>
        <w:autoSpaceDE w:val="0"/>
        <w:autoSpaceDN w:val="0"/>
        <w:adjustRightInd w:val="0"/>
        <w:ind w:firstLine="1296"/>
        <w:jc w:val="both"/>
      </w:pPr>
      <w:r>
        <w:t>84</w:t>
      </w:r>
      <w:r w:rsidRPr="00E066BD">
        <w:t>.7. perkami meno kūriniai, dovanos ir suvenyrai;</w:t>
      </w:r>
    </w:p>
    <w:p w:rsidR="001A6AEE" w:rsidRDefault="001A6AEE" w:rsidP="001A6AEE">
      <w:pPr>
        <w:autoSpaceDE w:val="0"/>
        <w:autoSpaceDN w:val="0"/>
        <w:adjustRightInd w:val="0"/>
        <w:ind w:firstLine="1296"/>
        <w:jc w:val="both"/>
      </w:pPr>
      <w:r>
        <w:t>84</w:t>
      </w:r>
      <w:r w:rsidRPr="00E066BD">
        <w:t>.8. kai</w:t>
      </w:r>
      <w:r>
        <w:t xml:space="preserve"> žinoma</w:t>
      </w:r>
      <w:r w:rsidRPr="00E066BD">
        <w:t>, kad yra mažiau tiekėjų, kurie gali</w:t>
      </w:r>
      <w:r>
        <w:t xml:space="preserve"> </w:t>
      </w:r>
      <w:r w:rsidRPr="00E066BD">
        <w:t>patiekti reikalingas prekes, atlikti paslaugas ar darbus;</w:t>
      </w:r>
    </w:p>
    <w:p w:rsidR="00701583" w:rsidRDefault="00701583" w:rsidP="00701583">
      <w:pPr>
        <w:autoSpaceDE w:val="0"/>
        <w:autoSpaceDN w:val="0"/>
        <w:adjustRightInd w:val="0"/>
        <w:ind w:firstLine="1296"/>
        <w:jc w:val="both"/>
      </w:pPr>
      <w:r>
        <w:t>84</w:t>
      </w:r>
      <w:r w:rsidR="001A6AEE" w:rsidRPr="00E066BD">
        <w:t>.9. didesnio tiekėjų skaičiaus apklausa reikalautų neproporcingai didelių laiko ir/ar lėšų sąnaudų;</w:t>
      </w:r>
    </w:p>
    <w:p w:rsidR="00701583" w:rsidRDefault="00701583" w:rsidP="00701583">
      <w:pPr>
        <w:autoSpaceDE w:val="0"/>
        <w:autoSpaceDN w:val="0"/>
        <w:adjustRightInd w:val="0"/>
        <w:ind w:firstLine="1296"/>
        <w:jc w:val="both"/>
      </w:pPr>
      <w:r>
        <w:t>84</w:t>
      </w:r>
      <w:r w:rsidR="001A6AEE" w:rsidRPr="00E066BD">
        <w:t>.10. yra tik konkretus tiekėjas, kuris gali patiekti reikalingas prekes, pateikti paslaugas ar</w:t>
      </w:r>
      <w:r w:rsidR="001A6AEE">
        <w:t xml:space="preserve"> </w:t>
      </w:r>
      <w:r w:rsidR="001A6AEE" w:rsidRPr="00E066BD">
        <w:t>atlikti darbus ir nėra jokios kitos priimtinos alternatyvos (pvz. sėklų stratifikavimas ir laikymas, žemės ir nekilnojamojo turto registravimas, statinių ir pastatų inventorizacija, autotransporto techninių apžiūrų, registravimo ir garantinio remonto paslaugos, dirbančiųjų sveikatos tikrinimas ir skiepijimas, pašto ženklai ir pan.);</w:t>
      </w:r>
    </w:p>
    <w:p w:rsidR="00701583" w:rsidRDefault="00701583" w:rsidP="00701583">
      <w:pPr>
        <w:autoSpaceDE w:val="0"/>
        <w:autoSpaceDN w:val="0"/>
        <w:adjustRightInd w:val="0"/>
        <w:ind w:firstLine="1296"/>
        <w:jc w:val="both"/>
      </w:pPr>
      <w:r>
        <w:t>84</w:t>
      </w:r>
      <w:r w:rsidR="001A6AEE" w:rsidRPr="00E066BD">
        <w:t>.11. už prekes ir paslaugas atsiskaitoma pagal patvirtintus tarifus (pvz. šaltas vanduo, dujos,šiukšlių išvežimas, elektra ir pan.);</w:t>
      </w:r>
    </w:p>
    <w:p w:rsidR="00701583" w:rsidRDefault="00701583" w:rsidP="00701583">
      <w:pPr>
        <w:autoSpaceDE w:val="0"/>
        <w:autoSpaceDN w:val="0"/>
        <w:adjustRightInd w:val="0"/>
        <w:ind w:firstLine="1296"/>
        <w:jc w:val="both"/>
      </w:pPr>
      <w:r>
        <w:t>84</w:t>
      </w:r>
      <w:r w:rsidR="00913280">
        <w:t>.1</w:t>
      </w:r>
      <w:r w:rsidR="00913280">
        <w:rPr>
          <w:lang w:val="en-US"/>
        </w:rPr>
        <w:t>2</w:t>
      </w:r>
      <w:r w:rsidR="001A6AEE" w:rsidRPr="00E066BD">
        <w:t>. perkami muziejų eksponatai, archyviniai ir bibliotekiniai dokumentai;</w:t>
      </w:r>
    </w:p>
    <w:p w:rsidR="001A6AEE" w:rsidRPr="00E066BD" w:rsidRDefault="00701583" w:rsidP="00701583">
      <w:pPr>
        <w:autoSpaceDE w:val="0"/>
        <w:autoSpaceDN w:val="0"/>
        <w:adjustRightInd w:val="0"/>
        <w:ind w:firstLine="1296"/>
        <w:jc w:val="both"/>
      </w:pPr>
      <w:r>
        <w:t>84</w:t>
      </w:r>
      <w:r w:rsidR="00913280">
        <w:t>.13</w:t>
      </w:r>
      <w:r w:rsidR="001A6AEE" w:rsidRPr="00E066BD">
        <w:t>. perkamos licencijos naudotis bibliotekiniais dokumentais ar duomenų (informacinėmis)</w:t>
      </w:r>
      <w:r>
        <w:t xml:space="preserve"> </w:t>
      </w:r>
      <w:r w:rsidR="001A6AEE" w:rsidRPr="00E066BD">
        <w:t>bazėmis;</w:t>
      </w:r>
    </w:p>
    <w:p w:rsidR="001A6AEE" w:rsidRPr="00E066BD" w:rsidRDefault="00701583" w:rsidP="00701583">
      <w:pPr>
        <w:autoSpaceDE w:val="0"/>
        <w:autoSpaceDN w:val="0"/>
        <w:adjustRightInd w:val="0"/>
        <w:ind w:firstLine="1296"/>
        <w:jc w:val="both"/>
      </w:pPr>
      <w:r>
        <w:t>84</w:t>
      </w:r>
      <w:r w:rsidR="00913280">
        <w:t>.14</w:t>
      </w:r>
      <w:r w:rsidR="001A6AEE" w:rsidRPr="00E066BD">
        <w:t>. išlaidos susijusios su dalyvavimu parodose (bilietai, dalyvių mokesčiai, ekspozicijos</w:t>
      </w:r>
      <w:r>
        <w:t xml:space="preserve"> </w:t>
      </w:r>
      <w:r w:rsidR="001A6AEE" w:rsidRPr="00E066BD">
        <w:t>vietos nuoma ir kitos išlaidos).</w:t>
      </w:r>
    </w:p>
    <w:p w:rsidR="00E066BD" w:rsidRPr="00225774" w:rsidRDefault="00913280" w:rsidP="00BF16EA">
      <w:pPr>
        <w:autoSpaceDE w:val="0"/>
        <w:autoSpaceDN w:val="0"/>
        <w:adjustRightInd w:val="0"/>
        <w:ind w:firstLine="1296"/>
        <w:jc w:val="both"/>
      </w:pPr>
      <w:r>
        <w:t>84.15</w:t>
      </w:r>
      <w:r w:rsidR="00BF16EA">
        <w:t xml:space="preserve">. </w:t>
      </w:r>
      <w:r w:rsidR="00BF16EA" w:rsidRPr="00225774">
        <w:t>taip pat kitais Taisyklių 82  ir 83 punktuose nepaminėtais atvejais, kai Taisyklių nustatyta tvarka gali būti vykdoma apklausa.“</w:t>
      </w:r>
    </w:p>
    <w:p w:rsidR="001D2832" w:rsidRPr="00FC08DF" w:rsidRDefault="00E13E2B" w:rsidP="00FC08DF">
      <w:pPr>
        <w:ind w:left="1296"/>
        <w:jc w:val="both"/>
        <w:rPr>
          <w:rFonts w:eastAsia="Calibri"/>
        </w:rPr>
      </w:pPr>
      <w:r>
        <w:rPr>
          <w:rFonts w:eastAsia="Calibri"/>
        </w:rPr>
        <w:t>5</w:t>
      </w:r>
      <w:r w:rsidR="00FC08DF">
        <w:rPr>
          <w:rFonts w:eastAsia="Calibri"/>
        </w:rPr>
        <w:t xml:space="preserve">. </w:t>
      </w:r>
      <w:r w:rsidR="00C24295" w:rsidRPr="00FC08DF">
        <w:rPr>
          <w:rFonts w:eastAsia="Calibri"/>
        </w:rPr>
        <w:t>Papildau XII skyrių 91</w:t>
      </w:r>
      <w:r w:rsidR="00C24295" w:rsidRPr="00FC08DF">
        <w:rPr>
          <w:spacing w:val="-2"/>
        </w:rPr>
        <w:t xml:space="preserve">¹ </w:t>
      </w:r>
      <w:r w:rsidR="007241A0" w:rsidRPr="00FC08DF">
        <w:rPr>
          <w:spacing w:val="-2"/>
        </w:rPr>
        <w:t>ir 91² punktais</w:t>
      </w:r>
      <w:r w:rsidR="00C24295" w:rsidRPr="00FC08DF">
        <w:rPr>
          <w:spacing w:val="-2"/>
        </w:rPr>
        <w:t>:</w:t>
      </w:r>
    </w:p>
    <w:p w:rsidR="0041690A" w:rsidRDefault="001D2832" w:rsidP="0041690A">
      <w:pPr>
        <w:ind w:firstLine="1296"/>
        <w:jc w:val="both"/>
      </w:pPr>
      <w:r w:rsidRPr="001D2832">
        <w:rPr>
          <w:rFonts w:eastAsia="Calibri"/>
        </w:rPr>
        <w:t>„91</w:t>
      </w:r>
      <w:r w:rsidRPr="001D2832">
        <w:rPr>
          <w:spacing w:val="-2"/>
        </w:rPr>
        <w:t xml:space="preserve">¹. </w:t>
      </w:r>
      <w:r w:rsidR="00C24295">
        <w:t>Apklausiant žodžiu su tiek</w:t>
      </w:r>
      <w:r w:rsidR="00C24295" w:rsidRPr="001D2832">
        <w:rPr>
          <w:rFonts w:ascii="TimesNewRoman" w:hAnsi="TimesNewRoman" w:cs="TimesNewRoman"/>
        </w:rPr>
        <w:t>ė</w:t>
      </w:r>
      <w:r w:rsidR="00C24295">
        <w:t>jais bendraujama asm</w:t>
      </w:r>
      <w:r>
        <w:t xml:space="preserve">eniškai arba telefonu. Taip pat </w:t>
      </w:r>
      <w:r w:rsidR="00C24295">
        <w:t>galima</w:t>
      </w:r>
      <w:r>
        <w:rPr>
          <w:spacing w:val="-2"/>
        </w:rPr>
        <w:t xml:space="preserve"> </w:t>
      </w:r>
      <w:r w:rsidR="00C24295">
        <w:t>pasinaudoti viešai tiek</w:t>
      </w:r>
      <w:r w:rsidR="00C24295">
        <w:rPr>
          <w:rFonts w:ascii="TimesNewRoman" w:hAnsi="TimesNewRoman" w:cs="TimesNewRoman"/>
        </w:rPr>
        <w:t>ė</w:t>
      </w:r>
      <w:r w:rsidR="00C24295">
        <w:t>j</w:t>
      </w:r>
      <w:r w:rsidR="00C24295">
        <w:rPr>
          <w:rFonts w:ascii="TimesNewRoman" w:hAnsi="TimesNewRoman" w:cs="TimesNewRoman"/>
        </w:rPr>
        <w:t xml:space="preserve">ų </w:t>
      </w:r>
      <w:r w:rsidR="00C24295">
        <w:t>pateikta informacija apie j</w:t>
      </w:r>
      <w:r w:rsidR="00C24295">
        <w:rPr>
          <w:rFonts w:ascii="TimesNewRoman" w:hAnsi="TimesNewRoman" w:cs="TimesNewRoman"/>
        </w:rPr>
        <w:t xml:space="preserve">ų </w:t>
      </w:r>
      <w:r w:rsidR="00C24295">
        <w:t>si</w:t>
      </w:r>
      <w:r w:rsidR="00C24295">
        <w:rPr>
          <w:rFonts w:ascii="TimesNewRoman" w:hAnsi="TimesNewRoman" w:cs="TimesNewRoman"/>
        </w:rPr>
        <w:t>ū</w:t>
      </w:r>
      <w:r w:rsidR="00C24295">
        <w:t>lomas prekes, paslaugas ir darbus (pvz.,</w:t>
      </w:r>
      <w:r>
        <w:rPr>
          <w:spacing w:val="-2"/>
        </w:rPr>
        <w:t xml:space="preserve"> </w:t>
      </w:r>
      <w:r w:rsidR="00C24295">
        <w:t>reklama internete ir kt.) apie si</w:t>
      </w:r>
      <w:r w:rsidR="00C24295">
        <w:rPr>
          <w:rFonts w:ascii="TimesNewRoman" w:hAnsi="TimesNewRoman" w:cs="TimesNewRoman"/>
        </w:rPr>
        <w:t>ū</w:t>
      </w:r>
      <w:r w:rsidR="00C24295">
        <w:t>loma prekes, paslaugas, darbus. Toks informacijos gavimas</w:t>
      </w:r>
      <w:r>
        <w:rPr>
          <w:spacing w:val="-2"/>
        </w:rPr>
        <w:t xml:space="preserve"> </w:t>
      </w:r>
      <w:r w:rsidR="00C24295">
        <w:t>prilyginamas žodinei tiek</w:t>
      </w:r>
      <w:r w:rsidR="00C24295">
        <w:rPr>
          <w:rFonts w:ascii="TimesNewRoman" w:hAnsi="TimesNewRoman" w:cs="TimesNewRoman"/>
        </w:rPr>
        <w:t>ė</w:t>
      </w:r>
      <w:r w:rsidR="00C24295">
        <w:t>j</w:t>
      </w:r>
      <w:r w:rsidR="00C24295">
        <w:rPr>
          <w:rFonts w:ascii="TimesNewRoman" w:hAnsi="TimesNewRoman" w:cs="TimesNewRoman"/>
        </w:rPr>
        <w:t xml:space="preserve">ų </w:t>
      </w:r>
      <w:r w:rsidR="00C24295">
        <w:t>apklausai.</w:t>
      </w:r>
    </w:p>
    <w:p w:rsidR="00756431" w:rsidRPr="00756431" w:rsidRDefault="007241A0" w:rsidP="00EA71A3">
      <w:pPr>
        <w:ind w:firstLine="1296"/>
        <w:jc w:val="both"/>
        <w:rPr>
          <w:spacing w:val="-2"/>
        </w:rPr>
      </w:pPr>
      <w:r w:rsidRPr="0041690A">
        <w:t xml:space="preserve"> </w:t>
      </w:r>
      <w:r w:rsidR="0041690A" w:rsidRPr="0041690A">
        <w:t xml:space="preserve"> </w:t>
      </w:r>
      <w:r w:rsidR="00D81773">
        <w:rPr>
          <w:spacing w:val="-2"/>
        </w:rPr>
        <w:t xml:space="preserve">91². </w:t>
      </w:r>
      <w:r w:rsidR="000C6546">
        <w:t>Apklausa raštu atliekama, kai numatoma sutarties vert</w:t>
      </w:r>
      <w:r w:rsidR="000C6546" w:rsidRPr="000C6546">
        <w:rPr>
          <w:rFonts w:ascii="TimesNewRoman" w:hAnsi="TimesNewRoman" w:cs="TimesNewRoman"/>
        </w:rPr>
        <w:t xml:space="preserve">ė </w:t>
      </w:r>
      <w:r w:rsidR="000C6546">
        <w:t>yra didesn</w:t>
      </w:r>
      <w:r w:rsidR="000C6546" w:rsidRPr="000C6546">
        <w:rPr>
          <w:rFonts w:ascii="TimesNewRoman" w:hAnsi="TimesNewRoman" w:cs="TimesNewRoman"/>
        </w:rPr>
        <w:t xml:space="preserve">ė </w:t>
      </w:r>
      <w:r w:rsidR="00FC08DF">
        <w:t>kaip 3 000 Eur</w:t>
      </w:r>
      <w:r w:rsidR="000C6546" w:rsidRPr="000C6546">
        <w:rPr>
          <w:rFonts w:ascii="TimesNewRoman" w:hAnsi="TimesNewRoman" w:cs="TimesNewRoman"/>
        </w:rPr>
        <w:t xml:space="preserve"> </w:t>
      </w:r>
      <w:r w:rsidR="000C6546">
        <w:t>(be PVM). Apklausiant raštu paklausimai tiek</w:t>
      </w:r>
      <w:r w:rsidR="000C6546" w:rsidRPr="000C6546">
        <w:rPr>
          <w:rFonts w:ascii="TimesNewRoman" w:hAnsi="TimesNewRoman" w:cs="TimesNewRoman"/>
        </w:rPr>
        <w:t>ė</w:t>
      </w:r>
      <w:r w:rsidR="000C6546">
        <w:t>jams pateikiami paštu arba faksu, elektroniniu paštu, asmeniškai arba CVP IS priemon</w:t>
      </w:r>
      <w:r w:rsidR="000C6546" w:rsidRPr="000C6546">
        <w:rPr>
          <w:rFonts w:ascii="TimesNewRoman" w:hAnsi="TimesNewRoman" w:cs="TimesNewRoman"/>
        </w:rPr>
        <w:t>ė</w:t>
      </w:r>
      <w:r w:rsidR="000C6546">
        <w:t>mis. Tame pa</w:t>
      </w:r>
      <w:r w:rsidR="000C6546" w:rsidRPr="000C6546">
        <w:rPr>
          <w:rFonts w:ascii="TimesNewRoman" w:hAnsi="TimesNewRoman" w:cs="TimesNewRoman"/>
        </w:rPr>
        <w:t>č</w:t>
      </w:r>
      <w:r w:rsidR="000C6546">
        <w:t>iame pirkime dalyvaujantys tiek</w:t>
      </w:r>
      <w:r w:rsidR="000C6546" w:rsidRPr="000C6546">
        <w:rPr>
          <w:rFonts w:ascii="TimesNewRoman" w:hAnsi="TimesNewRoman" w:cs="TimesNewRoman"/>
        </w:rPr>
        <w:t>ė</w:t>
      </w:r>
      <w:r w:rsidR="000C6546">
        <w:t>jai turi b</w:t>
      </w:r>
      <w:r w:rsidR="000C6546" w:rsidRPr="000C6546">
        <w:rPr>
          <w:rFonts w:ascii="TimesNewRoman" w:hAnsi="TimesNewRoman" w:cs="TimesNewRoman"/>
        </w:rPr>
        <w:t>ū</w:t>
      </w:r>
      <w:r w:rsidR="000C6546">
        <w:t>ti apklausiami ta pa</w:t>
      </w:r>
      <w:r w:rsidR="000C6546" w:rsidRPr="000C6546">
        <w:rPr>
          <w:rFonts w:ascii="TimesNewRoman" w:hAnsi="TimesNewRoman" w:cs="TimesNewRoman"/>
        </w:rPr>
        <w:t>č</w:t>
      </w:r>
      <w:r w:rsidR="000C6546">
        <w:t>ia forma.</w:t>
      </w:r>
      <w:r>
        <w:t>“</w:t>
      </w:r>
    </w:p>
    <w:p w:rsidR="00074FAE" w:rsidRPr="004D0D4E" w:rsidRDefault="00E13E2B" w:rsidP="004D0D4E">
      <w:pPr>
        <w:spacing w:line="360" w:lineRule="auto"/>
        <w:ind w:firstLine="1296"/>
        <w:jc w:val="both"/>
      </w:pPr>
      <w:r>
        <w:t>6</w:t>
      </w:r>
      <w:r w:rsidR="00EA71A3">
        <w:t xml:space="preserve">. </w:t>
      </w:r>
      <w:r w:rsidR="00073C21" w:rsidRPr="00046523">
        <w:t xml:space="preserve">Pripažįstu negaliojančiais </w:t>
      </w:r>
      <w:r w:rsidR="00EA71A3">
        <w:t xml:space="preserve">taisyklių </w:t>
      </w:r>
      <w:r w:rsidR="00073C21" w:rsidRPr="00046523">
        <w:t>1 ir 2 priedus</w:t>
      </w:r>
      <w:r w:rsidR="00A20E20" w:rsidRPr="00046523">
        <w:t>.</w:t>
      </w:r>
    </w:p>
    <w:p w:rsidR="00873B8C" w:rsidRDefault="00AB55F4" w:rsidP="00AB55F4">
      <w:pPr>
        <w:jc w:val="both"/>
      </w:pPr>
      <w:r>
        <w:tab/>
      </w:r>
    </w:p>
    <w:p w:rsidR="00C83522" w:rsidRDefault="00C83522" w:rsidP="00613147"/>
    <w:p w:rsidR="003F1525" w:rsidRDefault="00FB1740" w:rsidP="00613147">
      <w:r>
        <w:t>Miškų urėdas</w:t>
      </w:r>
      <w:r w:rsidR="00F5520D">
        <w:tab/>
      </w:r>
      <w:r w:rsidR="00F5520D">
        <w:tab/>
        <w:t xml:space="preserve">           </w:t>
      </w:r>
      <w:r w:rsidR="00F5520D">
        <w:tab/>
      </w:r>
      <w:r>
        <w:t xml:space="preserve">                         </w:t>
      </w:r>
      <w:r w:rsidR="00D72733">
        <w:t xml:space="preserve"> </w:t>
      </w:r>
      <w:r w:rsidR="00882B66">
        <w:t xml:space="preserve">                       </w:t>
      </w:r>
      <w:r w:rsidR="00446F61">
        <w:t>Faustas Bakys</w:t>
      </w:r>
    </w:p>
    <w:p w:rsidR="00FF0717" w:rsidRDefault="00FF0717" w:rsidP="00613147"/>
    <w:p w:rsidR="00C83522" w:rsidRDefault="00C83522"/>
    <w:p w:rsidR="008960E3" w:rsidRDefault="004D0D4E">
      <w:r>
        <w:t>Paren</w:t>
      </w:r>
      <w:r w:rsidR="00A13D9B">
        <w:t>gė</w:t>
      </w:r>
    </w:p>
    <w:p w:rsidR="00C83522" w:rsidRDefault="00C83522"/>
    <w:p w:rsidR="00487FAA" w:rsidRDefault="008960E3">
      <w:r>
        <w:t>J. Lonienė</w:t>
      </w:r>
    </w:p>
    <w:p w:rsidR="00A90D78" w:rsidRDefault="00A13D9B">
      <w:r>
        <w:t>201</w:t>
      </w:r>
      <w:r w:rsidR="00563477">
        <w:t>5</w:t>
      </w:r>
      <w:r>
        <w:t>-</w:t>
      </w:r>
      <w:r w:rsidR="00832602">
        <w:t>05-</w:t>
      </w:r>
      <w:r w:rsidR="005624DA">
        <w:t>25</w:t>
      </w:r>
    </w:p>
    <w:sectPr w:rsidR="00A90D78" w:rsidSect="008B14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50A2"/>
    <w:multiLevelType w:val="hybridMultilevel"/>
    <w:tmpl w:val="BB32002C"/>
    <w:lvl w:ilvl="0" w:tplc="11985EB4">
      <w:start w:val="1"/>
      <w:numFmt w:val="decimal"/>
      <w:lvlText w:val="%1."/>
      <w:lvlJc w:val="left"/>
      <w:pPr>
        <w:ind w:left="1656" w:hanging="360"/>
      </w:pPr>
      <w:rPr>
        <w:rFonts w:ascii="Times New Roman" w:eastAsia="Times New Roman" w:hAnsi="Times New Roman" w:cs="Times New Roman"/>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15796B56"/>
    <w:multiLevelType w:val="hybridMultilevel"/>
    <w:tmpl w:val="FCBA07BE"/>
    <w:lvl w:ilvl="0" w:tplc="AE08FF84">
      <w:start w:val="3"/>
      <w:numFmt w:val="decimal"/>
      <w:lvlText w:val="%1."/>
      <w:lvlJc w:val="left"/>
      <w:pPr>
        <w:ind w:left="360" w:hanging="360"/>
      </w:pPr>
      <w:rPr>
        <w:rFonts w:eastAsia="Calibri"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7605754"/>
    <w:multiLevelType w:val="hybridMultilevel"/>
    <w:tmpl w:val="7A8018CC"/>
    <w:lvl w:ilvl="0" w:tplc="27D209C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38ED0ED0"/>
    <w:multiLevelType w:val="hybridMultilevel"/>
    <w:tmpl w:val="AC081D28"/>
    <w:lvl w:ilvl="0" w:tplc="622CB8B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5F5F790E"/>
    <w:multiLevelType w:val="hybridMultilevel"/>
    <w:tmpl w:val="908854A0"/>
    <w:lvl w:ilvl="0" w:tplc="E8DC07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545FDF"/>
    <w:multiLevelType w:val="hybridMultilevel"/>
    <w:tmpl w:val="9B14FE48"/>
    <w:lvl w:ilvl="0" w:tplc="F968BBA0">
      <w:start w:val="1"/>
      <w:numFmt w:val="decimal"/>
      <w:lvlText w:val="%1."/>
      <w:lvlJc w:val="left"/>
      <w:pPr>
        <w:ind w:left="1656" w:hanging="360"/>
      </w:pPr>
      <w:rPr>
        <w:rFonts w:hint="default"/>
        <w:sz w:val="24"/>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7E5711D4"/>
    <w:multiLevelType w:val="hybridMultilevel"/>
    <w:tmpl w:val="B8CC0054"/>
    <w:lvl w:ilvl="0" w:tplc="DE2A75C0">
      <w:start w:val="3"/>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33"/>
    <w:rsid w:val="0001758A"/>
    <w:rsid w:val="00046523"/>
    <w:rsid w:val="00050961"/>
    <w:rsid w:val="0005564D"/>
    <w:rsid w:val="000722F5"/>
    <w:rsid w:val="00073C21"/>
    <w:rsid w:val="00074FAE"/>
    <w:rsid w:val="00084191"/>
    <w:rsid w:val="000A5BD1"/>
    <w:rsid w:val="000C6546"/>
    <w:rsid w:val="000F46E2"/>
    <w:rsid w:val="0011733C"/>
    <w:rsid w:val="00137B0C"/>
    <w:rsid w:val="001670E2"/>
    <w:rsid w:val="00171E39"/>
    <w:rsid w:val="001739F1"/>
    <w:rsid w:val="001A6AEE"/>
    <w:rsid w:val="001C447A"/>
    <w:rsid w:val="001C79AE"/>
    <w:rsid w:val="001D2832"/>
    <w:rsid w:val="001D6EFA"/>
    <w:rsid w:val="001E392E"/>
    <w:rsid w:val="001E5C14"/>
    <w:rsid w:val="001F5DB6"/>
    <w:rsid w:val="00206284"/>
    <w:rsid w:val="00220A31"/>
    <w:rsid w:val="00225774"/>
    <w:rsid w:val="002508C1"/>
    <w:rsid w:val="002613B7"/>
    <w:rsid w:val="002946B6"/>
    <w:rsid w:val="002B7C28"/>
    <w:rsid w:val="002C2C07"/>
    <w:rsid w:val="002C2CD4"/>
    <w:rsid w:val="003165F6"/>
    <w:rsid w:val="003520EE"/>
    <w:rsid w:val="00372F29"/>
    <w:rsid w:val="0038524F"/>
    <w:rsid w:val="00385325"/>
    <w:rsid w:val="00394C00"/>
    <w:rsid w:val="003B7927"/>
    <w:rsid w:val="003C2022"/>
    <w:rsid w:val="003C5753"/>
    <w:rsid w:val="003F1525"/>
    <w:rsid w:val="0041690A"/>
    <w:rsid w:val="00446F61"/>
    <w:rsid w:val="00477AD2"/>
    <w:rsid w:val="00487FAA"/>
    <w:rsid w:val="004C3768"/>
    <w:rsid w:val="004C3C9F"/>
    <w:rsid w:val="004C4565"/>
    <w:rsid w:val="004C4BAC"/>
    <w:rsid w:val="004D0D4E"/>
    <w:rsid w:val="004D2888"/>
    <w:rsid w:val="004D4D63"/>
    <w:rsid w:val="005624DA"/>
    <w:rsid w:val="00563477"/>
    <w:rsid w:val="00565F4F"/>
    <w:rsid w:val="00574132"/>
    <w:rsid w:val="005745FF"/>
    <w:rsid w:val="005A0945"/>
    <w:rsid w:val="005A2887"/>
    <w:rsid w:val="005B2984"/>
    <w:rsid w:val="005B5EB7"/>
    <w:rsid w:val="006054E3"/>
    <w:rsid w:val="00613147"/>
    <w:rsid w:val="006251C6"/>
    <w:rsid w:val="00662007"/>
    <w:rsid w:val="00664518"/>
    <w:rsid w:val="00683944"/>
    <w:rsid w:val="006913C6"/>
    <w:rsid w:val="006D02BA"/>
    <w:rsid w:val="00701583"/>
    <w:rsid w:val="00703BDB"/>
    <w:rsid w:val="007241A0"/>
    <w:rsid w:val="00724B7F"/>
    <w:rsid w:val="007464A2"/>
    <w:rsid w:val="00746594"/>
    <w:rsid w:val="0075552D"/>
    <w:rsid w:val="00756431"/>
    <w:rsid w:val="00767D19"/>
    <w:rsid w:val="0079247D"/>
    <w:rsid w:val="007A63F6"/>
    <w:rsid w:val="007C57FE"/>
    <w:rsid w:val="007F3A2D"/>
    <w:rsid w:val="00803F98"/>
    <w:rsid w:val="0083125D"/>
    <w:rsid w:val="00832602"/>
    <w:rsid w:val="00833182"/>
    <w:rsid w:val="00843D96"/>
    <w:rsid w:val="00873177"/>
    <w:rsid w:val="00873B8C"/>
    <w:rsid w:val="00882B66"/>
    <w:rsid w:val="008960E3"/>
    <w:rsid w:val="008A024D"/>
    <w:rsid w:val="008B1402"/>
    <w:rsid w:val="008B1C4C"/>
    <w:rsid w:val="008B58BB"/>
    <w:rsid w:val="008D7A18"/>
    <w:rsid w:val="00913280"/>
    <w:rsid w:val="00931D7B"/>
    <w:rsid w:val="0094307D"/>
    <w:rsid w:val="009500A1"/>
    <w:rsid w:val="00965C52"/>
    <w:rsid w:val="00972E5D"/>
    <w:rsid w:val="0098118A"/>
    <w:rsid w:val="009A75D9"/>
    <w:rsid w:val="009B4959"/>
    <w:rsid w:val="00A13D9B"/>
    <w:rsid w:val="00A16983"/>
    <w:rsid w:val="00A20E20"/>
    <w:rsid w:val="00A30DC4"/>
    <w:rsid w:val="00A348F8"/>
    <w:rsid w:val="00A374BA"/>
    <w:rsid w:val="00A42381"/>
    <w:rsid w:val="00A45A55"/>
    <w:rsid w:val="00A60DD8"/>
    <w:rsid w:val="00A90D78"/>
    <w:rsid w:val="00A92D9B"/>
    <w:rsid w:val="00A936EA"/>
    <w:rsid w:val="00AB55F4"/>
    <w:rsid w:val="00B12A17"/>
    <w:rsid w:val="00B2044E"/>
    <w:rsid w:val="00B85CCA"/>
    <w:rsid w:val="00B92733"/>
    <w:rsid w:val="00BA56DC"/>
    <w:rsid w:val="00BC18B1"/>
    <w:rsid w:val="00BC7376"/>
    <w:rsid w:val="00BE2306"/>
    <w:rsid w:val="00BE7BF6"/>
    <w:rsid w:val="00BF16EA"/>
    <w:rsid w:val="00C20EB1"/>
    <w:rsid w:val="00C24295"/>
    <w:rsid w:val="00C83522"/>
    <w:rsid w:val="00C856DB"/>
    <w:rsid w:val="00CA652F"/>
    <w:rsid w:val="00CB2E43"/>
    <w:rsid w:val="00D0298A"/>
    <w:rsid w:val="00D33B96"/>
    <w:rsid w:val="00D42CED"/>
    <w:rsid w:val="00D60976"/>
    <w:rsid w:val="00D66F38"/>
    <w:rsid w:val="00D72733"/>
    <w:rsid w:val="00D81773"/>
    <w:rsid w:val="00D81A6F"/>
    <w:rsid w:val="00D9514F"/>
    <w:rsid w:val="00DA15E2"/>
    <w:rsid w:val="00E066BD"/>
    <w:rsid w:val="00E12650"/>
    <w:rsid w:val="00E13E2B"/>
    <w:rsid w:val="00E16C00"/>
    <w:rsid w:val="00E36231"/>
    <w:rsid w:val="00EA71A3"/>
    <w:rsid w:val="00ED411A"/>
    <w:rsid w:val="00F240D8"/>
    <w:rsid w:val="00F5503F"/>
    <w:rsid w:val="00F5520D"/>
    <w:rsid w:val="00F749AF"/>
    <w:rsid w:val="00FB1740"/>
    <w:rsid w:val="00FB2F35"/>
    <w:rsid w:val="00FC08DF"/>
    <w:rsid w:val="00FE6EB5"/>
    <w:rsid w:val="00FF0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27EA2-0F59-4EC6-9B7D-D40D0A5D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3147"/>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72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D72733"/>
    <w:rPr>
      <w:rFonts w:ascii="Tahoma" w:hAnsi="Tahoma"/>
      <w:sz w:val="16"/>
      <w:szCs w:val="16"/>
    </w:rPr>
  </w:style>
  <w:style w:type="character" w:customStyle="1" w:styleId="DebesliotekstasDiagrama">
    <w:name w:val="Debesėlio tekstas Diagrama"/>
    <w:link w:val="Debesliotekstas"/>
    <w:uiPriority w:val="99"/>
    <w:semiHidden/>
    <w:rsid w:val="00D72733"/>
    <w:rPr>
      <w:rFonts w:ascii="Tahoma" w:eastAsia="Times New Roman" w:hAnsi="Tahoma" w:cs="Tahoma"/>
      <w:sz w:val="16"/>
      <w:szCs w:val="16"/>
      <w:lang w:eastAsia="lt-LT"/>
    </w:rPr>
  </w:style>
  <w:style w:type="paragraph" w:styleId="Sraopastraipa">
    <w:name w:val="List Paragraph"/>
    <w:basedOn w:val="prastasis"/>
    <w:uiPriority w:val="34"/>
    <w:qFormat/>
    <w:rsid w:val="00206284"/>
    <w:pPr>
      <w:ind w:left="720"/>
      <w:contextualSpacing/>
    </w:pPr>
  </w:style>
  <w:style w:type="paragraph" w:customStyle="1" w:styleId="Pagrindinistekstas1">
    <w:name w:val="Pagrindinis tekstas1"/>
    <w:basedOn w:val="prastasis"/>
    <w:rsid w:val="003520EE"/>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styleId="Hipersaitas">
    <w:name w:val="Hyperlink"/>
    <w:rsid w:val="00664518"/>
    <w:rPr>
      <w:color w:val="0000FF"/>
      <w:u w:val="single"/>
    </w:rPr>
  </w:style>
  <w:style w:type="paragraph" w:customStyle="1" w:styleId="Linija">
    <w:name w:val="Linija"/>
    <w:basedOn w:val="prastasis"/>
    <w:rsid w:val="00664518"/>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BodyText1">
    <w:name w:val="Body Text1"/>
    <w:basedOn w:val="prastasis"/>
    <w:rsid w:val="00756431"/>
    <w:pPr>
      <w:suppressAutoHyphens/>
      <w:autoSpaceDE w:val="0"/>
      <w:autoSpaceDN w:val="0"/>
      <w:adjustRightInd w:val="0"/>
      <w:spacing w:line="298" w:lineRule="auto"/>
      <w:ind w:firstLine="312"/>
      <w:jc w:val="both"/>
      <w:textAlignment w:val="center"/>
    </w:pPr>
    <w:rPr>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864">
      <w:bodyDiv w:val="1"/>
      <w:marLeft w:val="0"/>
      <w:marRight w:val="0"/>
      <w:marTop w:val="0"/>
      <w:marBottom w:val="0"/>
      <w:divBdr>
        <w:top w:val="none" w:sz="0" w:space="0" w:color="auto"/>
        <w:left w:val="none" w:sz="0" w:space="0" w:color="auto"/>
        <w:bottom w:val="none" w:sz="0" w:space="0" w:color="auto"/>
        <w:right w:val="none" w:sz="0" w:space="0" w:color="auto"/>
      </w:divBdr>
    </w:div>
    <w:div w:id="95448398">
      <w:bodyDiv w:val="1"/>
      <w:marLeft w:val="0"/>
      <w:marRight w:val="0"/>
      <w:marTop w:val="0"/>
      <w:marBottom w:val="0"/>
      <w:divBdr>
        <w:top w:val="none" w:sz="0" w:space="0" w:color="auto"/>
        <w:left w:val="none" w:sz="0" w:space="0" w:color="auto"/>
        <w:bottom w:val="none" w:sz="0" w:space="0" w:color="auto"/>
        <w:right w:val="none" w:sz="0" w:space="0" w:color="auto"/>
      </w:divBdr>
    </w:div>
    <w:div w:id="450363921">
      <w:bodyDiv w:val="1"/>
      <w:marLeft w:val="0"/>
      <w:marRight w:val="0"/>
      <w:marTop w:val="0"/>
      <w:marBottom w:val="0"/>
      <w:divBdr>
        <w:top w:val="none" w:sz="0" w:space="0" w:color="auto"/>
        <w:left w:val="none" w:sz="0" w:space="0" w:color="auto"/>
        <w:bottom w:val="none" w:sz="0" w:space="0" w:color="auto"/>
        <w:right w:val="none" w:sz="0" w:space="0" w:color="auto"/>
      </w:divBdr>
    </w:div>
    <w:div w:id="609361980">
      <w:bodyDiv w:val="1"/>
      <w:marLeft w:val="0"/>
      <w:marRight w:val="0"/>
      <w:marTop w:val="0"/>
      <w:marBottom w:val="0"/>
      <w:divBdr>
        <w:top w:val="none" w:sz="0" w:space="0" w:color="auto"/>
        <w:left w:val="none" w:sz="0" w:space="0" w:color="auto"/>
        <w:bottom w:val="none" w:sz="0" w:space="0" w:color="auto"/>
        <w:right w:val="none" w:sz="0" w:space="0" w:color="auto"/>
      </w:divBdr>
    </w:div>
    <w:div w:id="877164209">
      <w:bodyDiv w:val="1"/>
      <w:marLeft w:val="0"/>
      <w:marRight w:val="0"/>
      <w:marTop w:val="0"/>
      <w:marBottom w:val="0"/>
      <w:divBdr>
        <w:top w:val="none" w:sz="0" w:space="0" w:color="auto"/>
        <w:left w:val="none" w:sz="0" w:space="0" w:color="auto"/>
        <w:bottom w:val="none" w:sz="0" w:space="0" w:color="auto"/>
        <w:right w:val="none" w:sz="0" w:space="0" w:color="auto"/>
      </w:divBdr>
    </w:div>
    <w:div w:id="1320042995">
      <w:bodyDiv w:val="1"/>
      <w:marLeft w:val="0"/>
      <w:marRight w:val="0"/>
      <w:marTop w:val="0"/>
      <w:marBottom w:val="0"/>
      <w:divBdr>
        <w:top w:val="none" w:sz="0" w:space="0" w:color="auto"/>
        <w:left w:val="none" w:sz="0" w:space="0" w:color="auto"/>
        <w:bottom w:val="none" w:sz="0" w:space="0" w:color="auto"/>
        <w:right w:val="none" w:sz="0" w:space="0" w:color="auto"/>
      </w:divBdr>
    </w:div>
    <w:div w:id="1358775801">
      <w:bodyDiv w:val="1"/>
      <w:marLeft w:val="0"/>
      <w:marRight w:val="0"/>
      <w:marTop w:val="0"/>
      <w:marBottom w:val="0"/>
      <w:divBdr>
        <w:top w:val="none" w:sz="0" w:space="0" w:color="auto"/>
        <w:left w:val="none" w:sz="0" w:space="0" w:color="auto"/>
        <w:bottom w:val="none" w:sz="0" w:space="0" w:color="auto"/>
        <w:right w:val="none" w:sz="0" w:space="0" w:color="auto"/>
      </w:divBdr>
    </w:div>
    <w:div w:id="1792288057">
      <w:bodyDiv w:val="1"/>
      <w:marLeft w:val="0"/>
      <w:marRight w:val="0"/>
      <w:marTop w:val="0"/>
      <w:marBottom w:val="0"/>
      <w:divBdr>
        <w:top w:val="none" w:sz="0" w:space="0" w:color="auto"/>
        <w:left w:val="none" w:sz="0" w:space="0" w:color="auto"/>
        <w:bottom w:val="none" w:sz="0" w:space="0" w:color="auto"/>
        <w:right w:val="none" w:sz="0" w:space="0" w:color="auto"/>
      </w:divBdr>
    </w:div>
    <w:div w:id="1813448254">
      <w:bodyDiv w:val="1"/>
      <w:marLeft w:val="0"/>
      <w:marRight w:val="0"/>
      <w:marTop w:val="0"/>
      <w:marBottom w:val="0"/>
      <w:divBdr>
        <w:top w:val="none" w:sz="0" w:space="0" w:color="auto"/>
        <w:left w:val="none" w:sz="0" w:space="0" w:color="auto"/>
        <w:bottom w:val="none" w:sz="0" w:space="0" w:color="auto"/>
        <w:right w:val="none" w:sz="0" w:space="0" w:color="auto"/>
      </w:divBdr>
    </w:div>
    <w:div w:id="19882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4156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752F-B573-4B56-B776-2470B73E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4027</Words>
  <Characters>2296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labas</cp:lastModifiedBy>
  <cp:revision>32</cp:revision>
  <cp:lastPrinted>2015-01-31T08:26:00Z</cp:lastPrinted>
  <dcterms:created xsi:type="dcterms:W3CDTF">2015-05-15T14:00:00Z</dcterms:created>
  <dcterms:modified xsi:type="dcterms:W3CDTF">2015-05-29T08:16:00Z</dcterms:modified>
</cp:coreProperties>
</file>