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F6" w:rsidRDefault="008926F6" w:rsidP="008926F6">
      <w:pPr>
        <w:jc w:val="center"/>
        <w:textAlignment w:val="center"/>
        <w:rPr>
          <w:bCs/>
          <w:caps/>
          <w:color w:val="000000"/>
        </w:rPr>
      </w:pPr>
      <w:r>
        <w:rPr>
          <w:bCs/>
          <w:caps/>
          <w:color w:val="000000"/>
        </w:rPr>
        <w:t xml:space="preserve">                                                   </w:t>
      </w:r>
      <w:r w:rsidR="00301875">
        <w:rPr>
          <w:bCs/>
          <w:caps/>
          <w:color w:val="000000"/>
        </w:rPr>
        <w:t xml:space="preserve">                              </w:t>
      </w:r>
      <w:r>
        <w:rPr>
          <w:bCs/>
          <w:caps/>
          <w:color w:val="000000"/>
        </w:rPr>
        <w:t>PATVIRTINTA</w:t>
      </w:r>
    </w:p>
    <w:p w:rsidR="008926F6" w:rsidRDefault="008926F6" w:rsidP="008926F6">
      <w:pPr>
        <w:jc w:val="center"/>
        <w:textAlignment w:val="center"/>
        <w:rPr>
          <w:bCs/>
          <w:color w:val="000000"/>
        </w:rPr>
      </w:pPr>
      <w:r>
        <w:rPr>
          <w:bCs/>
          <w:color w:val="000000"/>
        </w:rPr>
        <w:t xml:space="preserve">                                                                                                       </w:t>
      </w:r>
      <w:r w:rsidR="00301875">
        <w:rPr>
          <w:bCs/>
          <w:color w:val="000000"/>
        </w:rPr>
        <w:t xml:space="preserve">   </w:t>
      </w:r>
      <w:r w:rsidR="004675CE">
        <w:rPr>
          <w:bCs/>
          <w:color w:val="000000"/>
        </w:rPr>
        <w:t>Būdviečių</w:t>
      </w:r>
      <w:r w:rsidR="00301875">
        <w:rPr>
          <w:bCs/>
          <w:color w:val="000000"/>
        </w:rPr>
        <w:t xml:space="preserve"> </w:t>
      </w:r>
      <w:r>
        <w:rPr>
          <w:bCs/>
          <w:color w:val="000000"/>
        </w:rPr>
        <w:t xml:space="preserve">kaimo bendruomenės  </w:t>
      </w:r>
    </w:p>
    <w:p w:rsidR="008926F6" w:rsidRDefault="008926F6" w:rsidP="008926F6">
      <w:pPr>
        <w:jc w:val="center"/>
        <w:textAlignment w:val="center"/>
        <w:rPr>
          <w:bCs/>
          <w:color w:val="000000"/>
        </w:rPr>
      </w:pPr>
      <w:r>
        <w:rPr>
          <w:bCs/>
          <w:color w:val="000000"/>
        </w:rPr>
        <w:t xml:space="preserve">                                                                          </w:t>
      </w:r>
      <w:r w:rsidR="004675CE">
        <w:rPr>
          <w:bCs/>
          <w:color w:val="000000"/>
        </w:rPr>
        <w:t xml:space="preserve">              </w:t>
      </w:r>
      <w:r>
        <w:rPr>
          <w:bCs/>
          <w:color w:val="000000"/>
        </w:rPr>
        <w:t>pirminink</w:t>
      </w:r>
      <w:r w:rsidR="004675CE">
        <w:rPr>
          <w:bCs/>
          <w:color w:val="000000"/>
        </w:rPr>
        <w:t>ės</w:t>
      </w:r>
      <w:r>
        <w:rPr>
          <w:bCs/>
          <w:color w:val="000000"/>
        </w:rPr>
        <w:t xml:space="preserve">  20</w:t>
      </w:r>
      <w:r w:rsidR="00301875">
        <w:rPr>
          <w:bCs/>
          <w:color w:val="000000"/>
        </w:rPr>
        <w:t>20</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301875">
        <w:rPr>
          <w:bCs/>
          <w:color w:val="000000"/>
        </w:rPr>
        <w:t xml:space="preserve">                               </w:t>
      </w:r>
      <w:bookmarkStart w:id="0" w:name="_GoBack"/>
      <w:bookmarkEnd w:id="0"/>
      <w:r>
        <w:rPr>
          <w:bCs/>
          <w:color w:val="000000"/>
          <w:shd w:val="clear" w:color="auto" w:fill="FFFFFF"/>
        </w:rPr>
        <w:t xml:space="preserve">birželio </w:t>
      </w:r>
      <w:r w:rsidR="00301875">
        <w:rPr>
          <w:bCs/>
          <w:color w:val="000000"/>
          <w:shd w:val="clear" w:color="auto" w:fill="FFFFFF"/>
        </w:rPr>
        <w:t>1</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1A4E0A" w:rsidRDefault="008926F6" w:rsidP="001A4E0A">
      <w:pPr>
        <w:pStyle w:val="CentrBold"/>
        <w:spacing w:line="240" w:lineRule="auto"/>
        <w:rPr>
          <w:color w:val="auto"/>
          <w:sz w:val="24"/>
          <w:szCs w:val="24"/>
        </w:rPr>
      </w:pPr>
      <w:r>
        <w:rPr>
          <w:color w:val="auto"/>
          <w:sz w:val="24"/>
          <w:szCs w:val="24"/>
        </w:rPr>
        <w:t xml:space="preserve"> </w:t>
      </w:r>
      <w:r w:rsidR="004675CE">
        <w:rPr>
          <w:color w:val="auto"/>
          <w:sz w:val="24"/>
          <w:szCs w:val="24"/>
        </w:rPr>
        <w:t xml:space="preserve">BŪDVIEČIŲ </w:t>
      </w:r>
      <w:r>
        <w:rPr>
          <w:color w:val="auto"/>
          <w:sz w:val="24"/>
          <w:szCs w:val="24"/>
        </w:rPr>
        <w:t xml:space="preserve">KAIMO BENDRUOMENĖS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4675CE" w:rsidP="00141D50">
      <w:pPr>
        <w:pStyle w:val="Pagrindinistekstas10"/>
        <w:spacing w:line="240" w:lineRule="auto"/>
        <w:ind w:firstLine="720"/>
        <w:rPr>
          <w:color w:val="auto"/>
          <w:spacing w:val="-4"/>
          <w:sz w:val="24"/>
          <w:szCs w:val="24"/>
        </w:rPr>
      </w:pPr>
      <w:r>
        <w:rPr>
          <w:color w:val="auto"/>
          <w:spacing w:val="-4"/>
          <w:sz w:val="24"/>
          <w:szCs w:val="24"/>
        </w:rPr>
        <w:t>Būdviečių</w:t>
      </w:r>
      <w:r w:rsidR="008926F6">
        <w:rPr>
          <w:color w:val="auto"/>
          <w:spacing w:val="-4"/>
          <w:sz w:val="24"/>
          <w:szCs w:val="24"/>
        </w:rPr>
        <w:t xml:space="preserve"> kaimo bendruomenė </w:t>
      </w:r>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 xml:space="preserve">1.1.1. supaprastintas pirkimas, kai prekių ar paslaugų pirkimo numatoma vertė yra mažesnė kaip 58 000 </w:t>
      </w:r>
      <w:proofErr w:type="spellStart"/>
      <w:r w:rsidR="00C27C20">
        <w:t>Eur</w:t>
      </w:r>
      <w:proofErr w:type="spellEnd"/>
      <w:r w:rsidR="00C27C20">
        <w:t xml:space="preserve"> (penkiasdešimt aštuoni tūkstančiai eurų) be pridėtinės vertės mokesčio (toliau – PVM), o darbų pirkimo numatoma vertė mažesnė kaip 145 000 </w:t>
      </w:r>
      <w:proofErr w:type="spellStart"/>
      <w:r w:rsidR="00C27C20">
        <w:t>Eur</w:t>
      </w:r>
      <w:proofErr w:type="spellEnd"/>
      <w:r w:rsidR="00C27C20">
        <w:t xml:space="preserve">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 xml:space="preserve">000 </w:t>
      </w:r>
      <w:proofErr w:type="spellStart"/>
      <w:r w:rsidR="00C27C20">
        <w:t>Eur</w:t>
      </w:r>
      <w:proofErr w:type="spellEnd"/>
      <w:r w:rsidR="00C27C20">
        <w:t xml:space="preserve"> (penkiasdešimt aštuoni tūkstančiai eurų) be PVM to paties tipo prekių ar paslaugų  sutarčių vertės, o perkant darbus – mažesnė kaip 145</w:t>
      </w:r>
      <w:r w:rsidR="001564FD">
        <w:t xml:space="preserve"> </w:t>
      </w:r>
      <w:r w:rsidR="00C27C20">
        <w:t xml:space="preserve">000 </w:t>
      </w:r>
      <w:proofErr w:type="spellStart"/>
      <w:r w:rsidR="00C27C20">
        <w:t>Eur</w:t>
      </w:r>
      <w:proofErr w:type="spellEnd"/>
      <w:r w:rsidR="00C27C20">
        <w:t xml:space="preserve">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w:t>
      </w:r>
      <w:r w:rsidRPr="001A4E0A">
        <w:rPr>
          <w:bCs/>
          <w:color w:val="auto"/>
          <w:sz w:val="24"/>
          <w:szCs w:val="24"/>
        </w:rPr>
        <w:lastRenderedPageBreak/>
        <w:t>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w:t>
      </w:r>
      <w:proofErr w:type="spellStart"/>
      <w:r w:rsidR="003C3CE6" w:rsidRPr="001A4E0A">
        <w:t>atskaitingi</w:t>
      </w:r>
      <w:proofErr w:type="spellEnd"/>
      <w:r w:rsidR="003C3CE6" w:rsidRPr="001A4E0A">
        <w:t xml:space="preserve">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įpareigojimus.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w:t>
      </w:r>
      <w:proofErr w:type="spellStart"/>
      <w:r w:rsidR="004C13E5" w:rsidRPr="00DC5646">
        <w:rPr>
          <w:color w:val="auto"/>
          <w:sz w:val="24"/>
          <w:szCs w:val="24"/>
        </w:rPr>
        <w:t>Eur</w:t>
      </w:r>
      <w:proofErr w:type="spellEnd"/>
      <w:r w:rsidR="004C13E5" w:rsidRPr="00DC5646">
        <w:rPr>
          <w:color w:val="auto"/>
          <w:sz w:val="24"/>
          <w:szCs w:val="24"/>
        </w:rPr>
        <w:t xml:space="preserve">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3 000</w:t>
      </w:r>
      <w:r w:rsidR="004C1237" w:rsidRPr="00DC5646">
        <w:rPr>
          <w:color w:val="auto"/>
          <w:sz w:val="24"/>
          <w:szCs w:val="24"/>
        </w:rPr>
        <w:t xml:space="preserve"> </w:t>
      </w:r>
      <w:proofErr w:type="spellStart"/>
      <w:r w:rsidR="004C1237" w:rsidRPr="00DC5646">
        <w:rPr>
          <w:color w:val="auto"/>
          <w:sz w:val="24"/>
          <w:szCs w:val="24"/>
        </w:rPr>
        <w:t>Eur</w:t>
      </w:r>
      <w:proofErr w:type="spellEnd"/>
      <w:r w:rsidR="004C1237" w:rsidRPr="00DC5646">
        <w:rPr>
          <w:color w:val="auto"/>
          <w:sz w:val="24"/>
          <w:szCs w:val="24"/>
        </w:rPr>
        <w:t xml:space="preserve">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 xml:space="preserve">ai pirkimo vertė didesnė kaip 10 000 </w:t>
      </w:r>
      <w:proofErr w:type="spellStart"/>
      <w:r w:rsidR="00C97BFE" w:rsidRPr="00DC5646">
        <w:rPr>
          <w:color w:val="auto"/>
          <w:sz w:val="24"/>
          <w:szCs w:val="24"/>
        </w:rPr>
        <w:t>Eur</w:t>
      </w:r>
      <w:proofErr w:type="spellEnd"/>
      <w:r w:rsidR="00C97BFE" w:rsidRPr="00DC5646">
        <w:rPr>
          <w:color w:val="auto"/>
          <w:sz w:val="24"/>
          <w:szCs w:val="24"/>
        </w:rPr>
        <w:t xml:space="preserve">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w:t>
      </w:r>
      <w:r w:rsidR="00296BA2" w:rsidRPr="00DC5646">
        <w:lastRenderedPageBreak/>
        <w:t xml:space="preserve">atitikties pirkimo sutartyse numatytiems kokybiniams ir kitiems reikalavimams </w:t>
      </w:r>
      <w:proofErr w:type="spellStart"/>
      <w:r w:rsidR="00296BA2" w:rsidRPr="00DC5646">
        <w:t>stebėseną</w:t>
      </w:r>
      <w:proofErr w:type="spellEnd"/>
      <w:r w:rsidR="00296BA2" w:rsidRPr="00DC5646">
        <w:t xml:space="preserve">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lastRenderedPageBreak/>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9"/>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40" w:rsidRDefault="00CF4340" w:rsidP="00A02C24">
      <w:r>
        <w:separator/>
      </w:r>
    </w:p>
  </w:endnote>
  <w:endnote w:type="continuationSeparator" w:id="0">
    <w:p w:rsidR="00CF4340" w:rsidRDefault="00CF4340"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40" w:rsidRDefault="00CF4340" w:rsidP="00A02C24">
      <w:r>
        <w:separator/>
      </w:r>
    </w:p>
  </w:footnote>
  <w:footnote w:type="continuationSeparator" w:id="0">
    <w:p w:rsidR="00CF4340" w:rsidRDefault="00CF4340" w:rsidP="00A0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45" w:rsidRDefault="004A7532">
    <w:pPr>
      <w:pStyle w:val="Antrats"/>
      <w:jc w:val="center"/>
    </w:pPr>
    <w:r>
      <w:fldChar w:fldCharType="begin"/>
    </w:r>
    <w:r w:rsidR="00F50645">
      <w:instrText>PAGE   \* MERGEFORMAT</w:instrText>
    </w:r>
    <w:r>
      <w:fldChar w:fldCharType="separate"/>
    </w:r>
    <w:r w:rsidR="004675CE">
      <w:rPr>
        <w:noProof/>
      </w:rPr>
      <w:t>2</w:t>
    </w:r>
    <w:r>
      <w:fldChar w:fldCharType="end"/>
    </w:r>
  </w:p>
  <w:p w:rsidR="00F50645" w:rsidRDefault="00F506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87B9F"/>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675CE"/>
    <w:rsid w:val="0047389D"/>
    <w:rsid w:val="0048152D"/>
    <w:rsid w:val="0048161B"/>
    <w:rsid w:val="004871B6"/>
    <w:rsid w:val="00496EE3"/>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E52"/>
    <w:rsid w:val="0059146C"/>
    <w:rsid w:val="00594B01"/>
    <w:rsid w:val="005A6909"/>
    <w:rsid w:val="005B5276"/>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A5F21"/>
    <w:rsid w:val="006B4F41"/>
    <w:rsid w:val="006C0B61"/>
    <w:rsid w:val="006E130D"/>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83414"/>
    <w:rsid w:val="00C97BFE"/>
    <w:rsid w:val="00CA230F"/>
    <w:rsid w:val="00CC0982"/>
    <w:rsid w:val="00CC30C6"/>
    <w:rsid w:val="00CD187A"/>
    <w:rsid w:val="00CD603B"/>
    <w:rsid w:val="00CD7C59"/>
    <w:rsid w:val="00CE0748"/>
    <w:rsid w:val="00CF0C70"/>
    <w:rsid w:val="00CF2E34"/>
    <w:rsid w:val="00CF3ED1"/>
    <w:rsid w:val="00CF4340"/>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F5D12"/>
    <w:rsid w:val="00E00D40"/>
    <w:rsid w:val="00E250AE"/>
    <w:rsid w:val="00E26600"/>
    <w:rsid w:val="00E5216F"/>
    <w:rsid w:val="00E52640"/>
    <w:rsid w:val="00E53A4F"/>
    <w:rsid w:val="00E54FB5"/>
    <w:rsid w:val="00E57086"/>
    <w:rsid w:val="00E734E8"/>
    <w:rsid w:val="00E76976"/>
    <w:rsid w:val="00E77969"/>
    <w:rsid w:val="00E929CF"/>
    <w:rsid w:val="00E969CE"/>
    <w:rsid w:val="00EB0090"/>
    <w:rsid w:val="00EB5A73"/>
    <w:rsid w:val="00EC7A93"/>
    <w:rsid w:val="00EE1DDD"/>
    <w:rsid w:val="00F017FA"/>
    <w:rsid w:val="00F27477"/>
    <w:rsid w:val="00F3012B"/>
    <w:rsid w:val="00F34C77"/>
    <w:rsid w:val="00F46D0F"/>
    <w:rsid w:val="00F50645"/>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4A4D-9585-408E-9658-66566167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9568</Words>
  <Characters>5454</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Gimnazija</cp:lastModifiedBy>
  <cp:revision>3</cp:revision>
  <cp:lastPrinted>2017-09-01T06:56:00Z</cp:lastPrinted>
  <dcterms:created xsi:type="dcterms:W3CDTF">2020-06-03T14:13:00Z</dcterms:created>
  <dcterms:modified xsi:type="dcterms:W3CDTF">2020-06-03T14:29:00Z</dcterms:modified>
</cp:coreProperties>
</file>